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B5C04" w14:textId="2D05BAFA" w:rsidR="002955E0" w:rsidRPr="002955E0" w:rsidRDefault="002955E0" w:rsidP="00AF023F">
      <w:pPr>
        <w:jc w:val="center"/>
        <w:rPr>
          <w:rFonts w:cstheme="minorHAnsi"/>
        </w:rPr>
      </w:pPr>
      <w:r w:rsidRPr="002955E0">
        <w:rPr>
          <w:rFonts w:cstheme="minorHAnsi"/>
        </w:rPr>
        <w:t>Gospodarka odpadami za 202</w:t>
      </w:r>
      <w:r w:rsidR="001C46B0">
        <w:rPr>
          <w:rFonts w:cstheme="minorHAnsi"/>
        </w:rPr>
        <w:t>5</w:t>
      </w:r>
      <w:r w:rsidRPr="002955E0">
        <w:rPr>
          <w:rFonts w:cstheme="minorHAnsi"/>
        </w:rPr>
        <w:t xml:space="preserve"> rok</w:t>
      </w:r>
    </w:p>
    <w:p w14:paraId="00A880AC" w14:textId="77777777" w:rsidR="002955E0" w:rsidRDefault="002955E0">
      <w:pPr>
        <w:rPr>
          <w:rFonts w:cstheme="minorHAnsi"/>
        </w:rPr>
      </w:pPr>
    </w:p>
    <w:p w14:paraId="19EEF01C" w14:textId="6E02396F" w:rsidR="007D47E8" w:rsidRDefault="00C40C48" w:rsidP="009D1151">
      <w:pPr>
        <w:ind w:firstLine="851"/>
        <w:jc w:val="both"/>
        <w:rPr>
          <w:rFonts w:cstheme="minorHAnsi"/>
        </w:rPr>
      </w:pPr>
      <w:r w:rsidRPr="00FF2C45">
        <w:rPr>
          <w:rFonts w:cstheme="minorHAnsi"/>
        </w:rPr>
        <w:t>Od 01 lipca 2013 r. w związku z nowelizacją ustawy o utrzymaniu czystości i porządku w gminach, gminy otrzymały nowe zadania dotyczące organizowania odbioru i składowania odpadów komunalnych. Wówczas systemem odbioru odpadów objęto nieruchomości zamieszkałe oraz nieruchomości niezamieszkałe (placówki oświatowe, miejsca prowadzenia działalności gospodarczej itp.). Od lipca 2016 r. systemem odbioru objęte są także wszystkie nieruchomości wykorzystywane w celach rekreacyjnych (domku letniskowe). Wszyscy właściciele nieruchomości są zobowiązani do złożenia do Urzędu Gminy deklaracji o wysokości opłaty za gospodarowanie odpadami oraz do ponoszenia opłat na rzecz Gminy.</w:t>
      </w:r>
    </w:p>
    <w:p w14:paraId="65712AC6" w14:textId="77777777" w:rsidR="00380573" w:rsidRDefault="002D1ECF" w:rsidP="009D1151">
      <w:pPr>
        <w:spacing w:after="0"/>
        <w:ind w:firstLine="851"/>
        <w:jc w:val="both"/>
        <w:rPr>
          <w:rFonts w:cstheme="minorHAnsi"/>
        </w:rPr>
      </w:pPr>
      <w:r>
        <w:rPr>
          <w:rFonts w:cstheme="minorHAnsi"/>
        </w:rPr>
        <w:t xml:space="preserve">W zakresie gospodarki odpadami </w:t>
      </w:r>
      <w:r w:rsidR="00380573">
        <w:rPr>
          <w:rFonts w:cstheme="minorHAnsi"/>
        </w:rPr>
        <w:t xml:space="preserve">w 2025 roku </w:t>
      </w:r>
      <w:r>
        <w:rPr>
          <w:rFonts w:cstheme="minorHAnsi"/>
        </w:rPr>
        <w:t xml:space="preserve">podjęto </w:t>
      </w:r>
      <w:r w:rsidR="00380573">
        <w:rPr>
          <w:rFonts w:cstheme="minorHAnsi"/>
        </w:rPr>
        <w:t>dwie uchwały, które dotyczyły wysokości opłat:</w:t>
      </w:r>
    </w:p>
    <w:p w14:paraId="29937D5B" w14:textId="7F659C25" w:rsidR="00380573" w:rsidRPr="00380573" w:rsidRDefault="00380573" w:rsidP="009D1151">
      <w:pPr>
        <w:spacing w:after="0"/>
        <w:jc w:val="both"/>
        <w:rPr>
          <w:rFonts w:cstheme="minorHAnsi"/>
        </w:rPr>
      </w:pPr>
      <w:r>
        <w:rPr>
          <w:rFonts w:cstheme="minorHAnsi"/>
        </w:rPr>
        <w:t xml:space="preserve">- </w:t>
      </w:r>
      <w:r w:rsidRPr="00380573">
        <w:rPr>
          <w:rFonts w:cstheme="minorHAnsi"/>
        </w:rPr>
        <w:t xml:space="preserve"> uchwała nr XXVI.127.2025 Rady Gminy w Ślemieniu z dnia 27 listopada 2025 r. w sprawie wyboru metody ustalenia opłaty za gospodarowanie odpadami komunalnymi od właścicieli nieruchomości, na których zamieszkują mieszkańcy oraz ustalenia wysokości stawki tej opłaty,</w:t>
      </w:r>
    </w:p>
    <w:p w14:paraId="275DC094" w14:textId="77777777" w:rsidR="00380573" w:rsidRDefault="00380573" w:rsidP="009D1151">
      <w:pPr>
        <w:spacing w:after="0"/>
        <w:jc w:val="both"/>
        <w:rPr>
          <w:rFonts w:cstheme="minorHAnsi"/>
        </w:rPr>
      </w:pPr>
      <w:r w:rsidRPr="00380573">
        <w:rPr>
          <w:rFonts w:cstheme="minorHAnsi"/>
        </w:rPr>
        <w:t>- uchwała Nr XXVI.128.2025 Rady Gminy w Ślemieniu z dnia 27 listopada 2025 r. w sprawie ustalenia ryczałtowej stawki opłaty za gospodarowanie odpadami komunalnymi za rok od domku letniskowego lub innej nieruchomości wykorzystywanej na cele rekreacyjno-wypoczynkowe.</w:t>
      </w:r>
    </w:p>
    <w:p w14:paraId="219CB980" w14:textId="37151336" w:rsidR="00380573" w:rsidRDefault="00380573" w:rsidP="009D1151">
      <w:pPr>
        <w:spacing w:after="0"/>
        <w:jc w:val="both"/>
        <w:rPr>
          <w:rFonts w:cstheme="minorHAnsi"/>
        </w:rPr>
      </w:pPr>
      <w:r>
        <w:rPr>
          <w:rFonts w:cstheme="minorHAnsi"/>
        </w:rPr>
        <w:t>Obie uchwały zostały podjęte w roku 2025, jednak nowe stawki zaczną obowiązywać od 01 stycznia 2026 r.</w:t>
      </w:r>
    </w:p>
    <w:p w14:paraId="1770CF9F" w14:textId="77777777" w:rsidR="009D1151" w:rsidRDefault="00380573" w:rsidP="009D1151">
      <w:pPr>
        <w:ind w:firstLine="851"/>
        <w:jc w:val="both"/>
        <w:rPr>
          <w:rFonts w:cstheme="minorHAnsi"/>
        </w:rPr>
      </w:pPr>
      <w:r>
        <w:rPr>
          <w:rFonts w:cstheme="minorHAnsi"/>
        </w:rPr>
        <w:t xml:space="preserve">Ryczałt w 2025 roku wynosił 267,00 zł, a od stycznia 2026 r. będzie wynosić 312,00 zł. Z kolei stawka dla mieszkańców w 2025 roku wynosiła 32,00 zł od osoby (trzeci rok taka sama), a od początku 2026 r. opłata wzrośnie do 38,00 zł. </w:t>
      </w:r>
      <w:r w:rsidR="009D1151">
        <w:rPr>
          <w:rFonts w:cstheme="minorHAnsi"/>
        </w:rPr>
        <w:t xml:space="preserve">Nie zmieniono również wysokości ulgi za kompostownik (1 zł miesięcznie za osobę). </w:t>
      </w:r>
    </w:p>
    <w:p w14:paraId="4CB3F997" w14:textId="77777777" w:rsidR="009D1151" w:rsidRDefault="00380573" w:rsidP="009D1151">
      <w:pPr>
        <w:ind w:firstLine="851"/>
        <w:jc w:val="both"/>
        <w:rPr>
          <w:rFonts w:cstheme="minorHAnsi"/>
        </w:rPr>
      </w:pPr>
      <w:r>
        <w:rPr>
          <w:rFonts w:cstheme="minorHAnsi"/>
        </w:rPr>
        <w:t xml:space="preserve">Rok 2025 był pierwszym rokiem, w którym poza gminnym systemem były nieruchomości niezamieszkałe, przyczyniło się to do spadku odbioru zmieszanych odpadów z poziomu 304,93 ton w 2024 r. do 247,78 tony w 2025 r. Zwiększeniu natomiast </w:t>
      </w:r>
      <w:r w:rsidR="009D1151">
        <w:rPr>
          <w:rFonts w:cstheme="minorHAnsi"/>
        </w:rPr>
        <w:t>uległy</w:t>
      </w:r>
      <w:r>
        <w:rPr>
          <w:rFonts w:cstheme="minorHAnsi"/>
        </w:rPr>
        <w:t xml:space="preserve"> ilości odpadów segregowanych takich jak szkło czy </w:t>
      </w:r>
      <w:r w:rsidR="009D1151">
        <w:rPr>
          <w:rFonts w:cstheme="minorHAnsi"/>
        </w:rPr>
        <w:t>tworzywa</w:t>
      </w:r>
      <w:r>
        <w:rPr>
          <w:rFonts w:cstheme="minorHAnsi"/>
        </w:rPr>
        <w:t xml:space="preserve"> sztuczne.</w:t>
      </w:r>
      <w:r w:rsidR="009D1151">
        <w:rPr>
          <w:rFonts w:cstheme="minorHAnsi"/>
        </w:rPr>
        <w:t xml:space="preserve"> </w:t>
      </w:r>
      <w:r>
        <w:rPr>
          <w:rFonts w:cstheme="minorHAnsi"/>
        </w:rPr>
        <w:t>Od 01.10.202</w:t>
      </w:r>
      <w:r w:rsidR="009D1151">
        <w:rPr>
          <w:rFonts w:cstheme="minorHAnsi"/>
        </w:rPr>
        <w:t>5</w:t>
      </w:r>
      <w:r>
        <w:rPr>
          <w:rFonts w:cstheme="minorHAnsi"/>
        </w:rPr>
        <w:t xml:space="preserve"> r. w Polsce zaczął obowiązywać system kaucyjny, jednak w pierwszych miesiącach na terenie gminy Ślemień nie odebrano w nowym systemie żadnych odpadów</w:t>
      </w:r>
      <w:r w:rsidR="009D1151">
        <w:rPr>
          <w:rFonts w:cstheme="minorHAnsi"/>
        </w:rPr>
        <w:t xml:space="preserve"> (dane ze sprawozdań operatorów systemu kaucyjnego ze stycznia 2026 r.)</w:t>
      </w:r>
    </w:p>
    <w:p w14:paraId="3671B344" w14:textId="79C34B0A" w:rsidR="002333B3" w:rsidRPr="00FF2C45" w:rsidRDefault="00740BC4" w:rsidP="009D1151">
      <w:pPr>
        <w:spacing w:after="0"/>
        <w:ind w:firstLine="851"/>
        <w:jc w:val="both"/>
        <w:rPr>
          <w:rFonts w:cstheme="minorHAnsi"/>
        </w:rPr>
      </w:pPr>
      <w:r w:rsidRPr="00FF2C45">
        <w:rPr>
          <w:rFonts w:cstheme="minorHAnsi"/>
        </w:rPr>
        <w:t xml:space="preserve">Systemem gospodarki odpadami </w:t>
      </w:r>
      <w:r w:rsidR="009D1151">
        <w:rPr>
          <w:rFonts w:cstheme="minorHAnsi"/>
        </w:rPr>
        <w:t xml:space="preserve">wg stanu na 31.12.2025 r. </w:t>
      </w:r>
      <w:r w:rsidRPr="00FF2C45">
        <w:rPr>
          <w:rFonts w:cstheme="minorHAnsi"/>
        </w:rPr>
        <w:t xml:space="preserve">objętych było </w:t>
      </w:r>
      <w:r w:rsidR="009D1151">
        <w:rPr>
          <w:rFonts w:cstheme="minorHAnsi"/>
        </w:rPr>
        <w:t>1398</w:t>
      </w:r>
      <w:r w:rsidRPr="00FF2C45">
        <w:rPr>
          <w:rFonts w:cstheme="minorHAnsi"/>
        </w:rPr>
        <w:t xml:space="preserve"> nieruchomości, w tym:</w:t>
      </w:r>
    </w:p>
    <w:p w14:paraId="04DDFF55" w14:textId="6BD08E15" w:rsidR="00740BC4" w:rsidRPr="00FF2C45" w:rsidRDefault="00740BC4" w:rsidP="00333A44">
      <w:pPr>
        <w:spacing w:after="0"/>
        <w:jc w:val="both"/>
        <w:rPr>
          <w:rFonts w:cstheme="minorHAnsi"/>
        </w:rPr>
      </w:pPr>
      <w:r w:rsidRPr="00FF2C45">
        <w:rPr>
          <w:rFonts w:cstheme="minorHAnsi"/>
        </w:rPr>
        <w:t xml:space="preserve">- zamieszkałe </w:t>
      </w:r>
      <w:r w:rsidR="009D1151">
        <w:rPr>
          <w:rFonts w:cstheme="minorHAnsi"/>
        </w:rPr>
        <w:t>1067</w:t>
      </w:r>
      <w:r w:rsidR="00A756E1" w:rsidRPr="00FF2C45">
        <w:rPr>
          <w:rFonts w:cstheme="minorHAnsi"/>
        </w:rPr>
        <w:t>,</w:t>
      </w:r>
    </w:p>
    <w:p w14:paraId="595F1E30" w14:textId="33803DC7" w:rsidR="00740BC4" w:rsidRPr="00FF2C45" w:rsidRDefault="00740BC4" w:rsidP="00333A44">
      <w:pPr>
        <w:spacing w:after="0"/>
        <w:jc w:val="both"/>
        <w:rPr>
          <w:rFonts w:cstheme="minorHAnsi"/>
        </w:rPr>
      </w:pPr>
      <w:r w:rsidRPr="00FF2C45">
        <w:rPr>
          <w:rFonts w:cstheme="minorHAnsi"/>
        </w:rPr>
        <w:t xml:space="preserve">- letniskowe </w:t>
      </w:r>
      <w:r w:rsidR="009D1151">
        <w:rPr>
          <w:rFonts w:cstheme="minorHAnsi"/>
        </w:rPr>
        <w:t>331</w:t>
      </w:r>
      <w:r w:rsidR="00A756E1" w:rsidRPr="00FF2C45">
        <w:rPr>
          <w:rFonts w:cstheme="minorHAnsi"/>
        </w:rPr>
        <w:t>.</w:t>
      </w:r>
    </w:p>
    <w:p w14:paraId="63871B71" w14:textId="69C5F28D" w:rsidR="00DE17BD" w:rsidRPr="00FF2C45" w:rsidRDefault="00740BC4" w:rsidP="00333A44">
      <w:pPr>
        <w:spacing w:after="0"/>
        <w:jc w:val="both"/>
        <w:rPr>
          <w:rFonts w:cstheme="minorHAnsi"/>
        </w:rPr>
      </w:pPr>
      <w:r w:rsidRPr="00FF2C45">
        <w:rPr>
          <w:rFonts w:cstheme="minorHAnsi"/>
        </w:rPr>
        <w:t>Zadeklarowano 3</w:t>
      </w:r>
      <w:r w:rsidR="009D1151">
        <w:rPr>
          <w:rFonts w:cstheme="minorHAnsi"/>
        </w:rPr>
        <w:t>115</w:t>
      </w:r>
      <w:r w:rsidRPr="00FF2C45">
        <w:rPr>
          <w:rFonts w:cstheme="minorHAnsi"/>
        </w:rPr>
        <w:t xml:space="preserve"> osób. </w:t>
      </w:r>
      <w:r w:rsidR="009D1151">
        <w:rPr>
          <w:rFonts w:cstheme="minorHAnsi"/>
        </w:rPr>
        <w:t>Obserwowany spadek liczby osób objętych systemem w stosunku do</w:t>
      </w:r>
      <w:r w:rsidR="000E0536">
        <w:rPr>
          <w:rFonts w:cstheme="minorHAnsi"/>
        </w:rPr>
        <w:t xml:space="preserve"> roku 2024, kiedy systemem było objętych </w:t>
      </w:r>
      <w:r w:rsidR="009D1151">
        <w:rPr>
          <w:rFonts w:cstheme="minorHAnsi"/>
        </w:rPr>
        <w:t>3</w:t>
      </w:r>
      <w:r w:rsidR="000E0536">
        <w:rPr>
          <w:rFonts w:cstheme="minorHAnsi"/>
        </w:rPr>
        <w:t>142 osoby. Zwiększyła się liczba nieruchomości letniskowych            o 12 sztuk.</w:t>
      </w:r>
    </w:p>
    <w:p w14:paraId="570DB0C9" w14:textId="77777777" w:rsidR="006A5F12" w:rsidRDefault="006A5F12" w:rsidP="00E703DC">
      <w:pPr>
        <w:jc w:val="both"/>
        <w:rPr>
          <w:rFonts w:cstheme="minorHAnsi"/>
        </w:rPr>
      </w:pPr>
    </w:p>
    <w:p w14:paraId="1F22A77C" w14:textId="549D6AAE" w:rsidR="00A93C47" w:rsidRPr="00FF2C45" w:rsidRDefault="00A93C47" w:rsidP="00E703DC">
      <w:pPr>
        <w:jc w:val="both"/>
        <w:rPr>
          <w:rFonts w:cstheme="minorHAnsi"/>
        </w:rPr>
      </w:pPr>
      <w:r>
        <w:rPr>
          <w:rFonts w:cstheme="minorHAnsi"/>
        </w:rPr>
        <w:t>Wydatki i dochody 202</w:t>
      </w:r>
      <w:r w:rsidR="000E0536">
        <w:rPr>
          <w:rFonts w:cstheme="minorHAnsi"/>
        </w:rPr>
        <w:t>5</w:t>
      </w:r>
      <w:r>
        <w:rPr>
          <w:rFonts w:cstheme="minorHAnsi"/>
        </w:rPr>
        <w:t xml:space="preserve"> – odpady komunalne</w:t>
      </w:r>
    </w:p>
    <w:p w14:paraId="286F4931" w14:textId="6CC8B954" w:rsidR="00A93C47" w:rsidRDefault="00A93C47" w:rsidP="00FF5B82">
      <w:pPr>
        <w:jc w:val="both"/>
        <w:rPr>
          <w:rFonts w:eastAsia="Times New Roman" w:cstheme="minorHAnsi"/>
          <w:lang w:eastAsia="pl-PL"/>
        </w:rPr>
      </w:pPr>
      <w:r w:rsidRPr="00A93C47">
        <w:rPr>
          <w:rFonts w:eastAsia="Times New Roman" w:cstheme="minorHAnsi"/>
          <w:lang w:eastAsia="pl-PL"/>
        </w:rPr>
        <w:t xml:space="preserve">W </w:t>
      </w:r>
      <w:r w:rsidR="00FF5B82">
        <w:rPr>
          <w:rFonts w:eastAsia="Times New Roman" w:cstheme="minorHAnsi"/>
          <w:lang w:eastAsia="pl-PL"/>
        </w:rPr>
        <w:t>roku 202</w:t>
      </w:r>
      <w:r w:rsidR="000E0536">
        <w:rPr>
          <w:rFonts w:eastAsia="Times New Roman" w:cstheme="minorHAnsi"/>
          <w:lang w:eastAsia="pl-PL"/>
        </w:rPr>
        <w:t>5</w:t>
      </w:r>
      <w:r w:rsidRPr="00A93C47">
        <w:rPr>
          <w:rFonts w:eastAsia="Times New Roman" w:cstheme="minorHAnsi"/>
          <w:lang w:eastAsia="pl-PL"/>
        </w:rPr>
        <w:t xml:space="preserve"> dochody z tytułu opłat za gospodarowanie odpadami komunalnymi w </w:t>
      </w:r>
      <w:r w:rsidR="00FF5B82">
        <w:rPr>
          <w:rFonts w:eastAsia="Times New Roman" w:cstheme="minorHAnsi"/>
          <w:lang w:eastAsia="pl-PL"/>
        </w:rPr>
        <w:t>wynosiły</w:t>
      </w:r>
      <w:r w:rsidRPr="00A93C47">
        <w:rPr>
          <w:rFonts w:eastAsia="Times New Roman" w:cstheme="minorHAnsi"/>
          <w:lang w:eastAsia="pl-PL"/>
        </w:rPr>
        <w:t xml:space="preserve"> </w:t>
      </w:r>
      <w:r w:rsidR="00FF5B82" w:rsidRPr="00FF5B82">
        <w:rPr>
          <w:rFonts w:ascii="Calibri" w:eastAsia="Times New Roman" w:hAnsi="Calibri" w:cs="Calibri"/>
          <w:color w:val="000000"/>
          <w:lang w:eastAsia="pl-PL"/>
        </w:rPr>
        <w:t xml:space="preserve">                         </w:t>
      </w:r>
      <w:r w:rsidR="000E0536">
        <w:rPr>
          <w:rFonts w:ascii="Calibri" w:eastAsia="Times New Roman" w:hAnsi="Calibri" w:cs="Calibri"/>
          <w:color w:val="000000"/>
          <w:lang w:eastAsia="pl-PL"/>
        </w:rPr>
        <w:t>1 270 474,23</w:t>
      </w:r>
      <w:r w:rsidR="00FF5B82" w:rsidRPr="00FF5B82">
        <w:rPr>
          <w:rFonts w:ascii="Calibri" w:eastAsia="Times New Roman" w:hAnsi="Calibri" w:cs="Calibri"/>
          <w:color w:val="000000"/>
          <w:lang w:eastAsia="pl-PL"/>
        </w:rPr>
        <w:t xml:space="preserve"> </w:t>
      </w:r>
      <w:r w:rsidRPr="00A93C47">
        <w:rPr>
          <w:rFonts w:eastAsia="Times New Roman" w:cstheme="minorHAnsi"/>
          <w:lang w:eastAsia="pl-PL"/>
        </w:rPr>
        <w:t>zł</w:t>
      </w:r>
      <w:r w:rsidR="000E0536">
        <w:rPr>
          <w:rFonts w:eastAsia="Times New Roman" w:cstheme="minorHAnsi"/>
          <w:lang w:eastAsia="pl-PL"/>
        </w:rPr>
        <w:t>. Spadek dochodów w stosunku do 2024 r. o 35 588,43 zł (spadek liczby ludności)</w:t>
      </w:r>
    </w:p>
    <w:p w14:paraId="3D20AF2A" w14:textId="2568AD52" w:rsidR="00A93C47" w:rsidRPr="00A93C47" w:rsidRDefault="00A93C47" w:rsidP="00A93C47">
      <w:pPr>
        <w:snapToGrid w:val="0"/>
        <w:spacing w:after="0" w:line="264" w:lineRule="auto"/>
        <w:jc w:val="both"/>
        <w:rPr>
          <w:rFonts w:eastAsia="Times New Roman" w:cstheme="minorHAnsi"/>
          <w:lang w:eastAsia="pl-PL"/>
        </w:rPr>
      </w:pPr>
      <w:r w:rsidRPr="00A93C47">
        <w:rPr>
          <w:rFonts w:eastAsia="Times New Roman" w:cstheme="minorHAnsi"/>
          <w:lang w:eastAsia="ar-SA"/>
        </w:rPr>
        <w:t xml:space="preserve">Środki zostały poniesione </w:t>
      </w:r>
      <w:r w:rsidR="00556667">
        <w:rPr>
          <w:rFonts w:eastAsia="Times New Roman" w:cstheme="minorHAnsi"/>
          <w:lang w:eastAsia="ar-SA"/>
        </w:rPr>
        <w:t xml:space="preserve">przede wszystkim </w:t>
      </w:r>
      <w:r w:rsidRPr="00A93C47">
        <w:rPr>
          <w:rFonts w:eastAsia="Times New Roman" w:cstheme="minorHAnsi"/>
          <w:lang w:eastAsia="ar-SA"/>
        </w:rPr>
        <w:t>na:</w:t>
      </w:r>
    </w:p>
    <w:p w14:paraId="31C9019A" w14:textId="6023C616" w:rsidR="00A93C47" w:rsidRDefault="00A93C47" w:rsidP="00A93C47">
      <w:pPr>
        <w:shd w:val="clear" w:color="auto" w:fill="FFFFFF"/>
        <w:spacing w:after="0" w:line="264" w:lineRule="auto"/>
        <w:jc w:val="both"/>
        <w:rPr>
          <w:rFonts w:eastAsia="Times New Roman" w:cstheme="minorHAnsi"/>
          <w:color w:val="000000"/>
          <w:lang w:eastAsia="pl-PL"/>
        </w:rPr>
      </w:pPr>
      <w:r>
        <w:rPr>
          <w:rFonts w:eastAsia="Times New Roman" w:cstheme="minorHAnsi"/>
          <w:lang w:eastAsia="pl-PL"/>
        </w:rPr>
        <w:t xml:space="preserve">- </w:t>
      </w:r>
      <w:r w:rsidRPr="00A93C47">
        <w:rPr>
          <w:rFonts w:eastAsia="Times New Roman" w:cstheme="minorHAnsi"/>
          <w:color w:val="000000"/>
          <w:lang w:eastAsia="pl-PL"/>
        </w:rPr>
        <w:t xml:space="preserve">odbiór, transport, zbieranie, odzysk i </w:t>
      </w:r>
      <w:r>
        <w:rPr>
          <w:rFonts w:eastAsia="Times New Roman" w:cstheme="minorHAnsi"/>
          <w:color w:val="000000"/>
          <w:lang w:eastAsia="pl-PL"/>
        </w:rPr>
        <w:t>zagospodarowanie</w:t>
      </w:r>
      <w:r w:rsidRPr="00A93C47">
        <w:rPr>
          <w:rFonts w:eastAsia="Times New Roman" w:cstheme="minorHAnsi"/>
          <w:color w:val="000000"/>
          <w:lang w:eastAsia="pl-PL"/>
        </w:rPr>
        <w:t> </w:t>
      </w:r>
      <w:r w:rsidR="006B43F0">
        <w:rPr>
          <w:rFonts w:eastAsia="Times New Roman" w:cstheme="minorHAnsi"/>
          <w:color w:val="000000"/>
          <w:lang w:eastAsia="pl-PL"/>
        </w:rPr>
        <w:t>–</w:t>
      </w:r>
      <w:r w:rsidRPr="00A93C47">
        <w:rPr>
          <w:rFonts w:eastAsia="Times New Roman" w:cstheme="minorHAnsi"/>
          <w:color w:val="000000"/>
          <w:lang w:eastAsia="pl-PL"/>
        </w:rPr>
        <w:t xml:space="preserve"> </w:t>
      </w:r>
      <w:r w:rsidR="00733D0B">
        <w:rPr>
          <w:rFonts w:eastAsia="Times New Roman" w:cstheme="minorHAnsi"/>
          <w:color w:val="000000"/>
          <w:lang w:eastAsia="pl-PL"/>
        </w:rPr>
        <w:t>1 068 422,86</w:t>
      </w:r>
      <w:r w:rsidRPr="00A93C47">
        <w:rPr>
          <w:rFonts w:eastAsia="Times New Roman" w:cstheme="minorHAnsi"/>
          <w:color w:val="000000"/>
          <w:lang w:eastAsia="pl-PL"/>
        </w:rPr>
        <w:t xml:space="preserve"> zł,</w:t>
      </w:r>
    </w:p>
    <w:p w14:paraId="76B90746" w14:textId="645FAA45" w:rsidR="00A93C47" w:rsidRPr="00A93C47" w:rsidRDefault="00A93C47" w:rsidP="00A93C47">
      <w:pPr>
        <w:shd w:val="clear" w:color="auto" w:fill="FFFFFF"/>
        <w:spacing w:after="0" w:line="264" w:lineRule="auto"/>
        <w:jc w:val="both"/>
        <w:rPr>
          <w:rFonts w:eastAsia="Times New Roman" w:cstheme="minorHAnsi"/>
          <w:lang w:eastAsia="pl-PL"/>
        </w:rPr>
      </w:pPr>
      <w:r>
        <w:rPr>
          <w:rFonts w:eastAsia="Times New Roman" w:cstheme="minorHAnsi"/>
          <w:lang w:eastAsia="pl-PL"/>
        </w:rPr>
        <w:t>-</w:t>
      </w:r>
      <w:r w:rsidRPr="00A93C47">
        <w:rPr>
          <w:rFonts w:eastAsia="Times New Roman" w:cstheme="minorHAnsi"/>
          <w:lang w:eastAsia="pl-PL"/>
        </w:rPr>
        <w:t xml:space="preserve"> </w:t>
      </w:r>
      <w:r w:rsidRPr="00A93C47">
        <w:rPr>
          <w:rFonts w:eastAsia="Times New Roman" w:cstheme="minorHAnsi"/>
          <w:color w:val="000000"/>
          <w:lang w:eastAsia="pl-PL"/>
        </w:rPr>
        <w:t xml:space="preserve">tworzenie i utrzymanie punktów selektywnego zbierania odpadów komunalnych – </w:t>
      </w:r>
      <w:r w:rsidR="00733D0B">
        <w:rPr>
          <w:rFonts w:eastAsia="Times New Roman" w:cstheme="minorHAnsi"/>
          <w:color w:val="000000"/>
          <w:lang w:eastAsia="pl-PL"/>
        </w:rPr>
        <w:t>54842,30</w:t>
      </w:r>
      <w:r w:rsidR="009E4575">
        <w:rPr>
          <w:rFonts w:eastAsia="Times New Roman" w:cstheme="minorHAnsi"/>
          <w:color w:val="000000"/>
          <w:lang w:eastAsia="pl-PL"/>
        </w:rPr>
        <w:t xml:space="preserve"> </w:t>
      </w:r>
      <w:r w:rsidRPr="00A93C47">
        <w:rPr>
          <w:rFonts w:eastAsia="Times New Roman" w:cstheme="minorHAnsi"/>
          <w:color w:val="000000"/>
          <w:lang w:eastAsia="pl-PL"/>
        </w:rPr>
        <w:t>zł,</w:t>
      </w:r>
    </w:p>
    <w:p w14:paraId="3358EF4F" w14:textId="746DC851" w:rsidR="00A93C47" w:rsidRDefault="00A93C47" w:rsidP="005F11AF">
      <w:pPr>
        <w:jc w:val="both"/>
        <w:rPr>
          <w:rFonts w:eastAsia="Times New Roman" w:cstheme="minorHAnsi"/>
          <w:color w:val="000000"/>
          <w:lang w:eastAsia="pl-PL"/>
        </w:rPr>
      </w:pPr>
      <w:r>
        <w:rPr>
          <w:rFonts w:eastAsia="Times New Roman" w:cstheme="minorHAnsi"/>
          <w:lang w:eastAsia="pl-PL"/>
        </w:rPr>
        <w:lastRenderedPageBreak/>
        <w:t xml:space="preserve">- </w:t>
      </w:r>
      <w:r w:rsidRPr="00A93C47">
        <w:rPr>
          <w:rFonts w:eastAsia="Times New Roman" w:cstheme="minorHAnsi"/>
          <w:color w:val="000000"/>
          <w:lang w:eastAsia="pl-PL"/>
        </w:rPr>
        <w:t xml:space="preserve">obsługa administracyjna systemu w kwocie </w:t>
      </w:r>
      <w:proofErr w:type="gramStart"/>
      <w:r>
        <w:rPr>
          <w:rFonts w:eastAsia="Times New Roman" w:cstheme="minorHAnsi"/>
          <w:color w:val="000000"/>
          <w:lang w:eastAsia="pl-PL"/>
        </w:rPr>
        <w:t xml:space="preserve">- </w:t>
      </w:r>
      <w:r w:rsidR="005F11AF" w:rsidRPr="005F11AF">
        <w:rPr>
          <w:rFonts w:ascii="Calibri" w:eastAsia="Times New Roman" w:hAnsi="Calibri" w:cs="Calibri"/>
          <w:color w:val="000000"/>
          <w:lang w:eastAsia="pl-PL"/>
        </w:rPr>
        <w:t xml:space="preserve"> </w:t>
      </w:r>
      <w:r w:rsidR="00733D0B">
        <w:rPr>
          <w:rFonts w:ascii="Calibri" w:eastAsia="Times New Roman" w:hAnsi="Calibri" w:cs="Calibri"/>
          <w:color w:val="000000"/>
          <w:lang w:eastAsia="pl-PL"/>
        </w:rPr>
        <w:t>132</w:t>
      </w:r>
      <w:proofErr w:type="gramEnd"/>
      <w:r w:rsidR="00733D0B">
        <w:rPr>
          <w:rFonts w:ascii="Calibri" w:eastAsia="Times New Roman" w:hAnsi="Calibri" w:cs="Calibri"/>
          <w:color w:val="000000"/>
          <w:lang w:eastAsia="pl-PL"/>
        </w:rPr>
        <w:t> 626,79</w:t>
      </w:r>
      <w:r w:rsidR="005F11AF" w:rsidRPr="005F11AF">
        <w:rPr>
          <w:rFonts w:ascii="Calibri" w:eastAsia="Times New Roman" w:hAnsi="Calibri" w:cs="Calibri"/>
          <w:color w:val="000000"/>
          <w:lang w:eastAsia="pl-PL"/>
        </w:rPr>
        <w:t xml:space="preserve"> </w:t>
      </w:r>
      <w:r w:rsidRPr="00A93C47">
        <w:rPr>
          <w:rFonts w:eastAsia="Times New Roman" w:cstheme="minorHAnsi"/>
          <w:color w:val="000000"/>
          <w:lang w:eastAsia="pl-PL"/>
        </w:rPr>
        <w:t>zł</w:t>
      </w:r>
      <w:r w:rsidR="00733D0B">
        <w:rPr>
          <w:rFonts w:eastAsia="Times New Roman" w:cstheme="minorHAnsi"/>
          <w:color w:val="000000"/>
          <w:lang w:eastAsia="pl-PL"/>
        </w:rPr>
        <w:t>.</w:t>
      </w:r>
    </w:p>
    <w:p w14:paraId="6B2A88F4" w14:textId="74ACDF9A" w:rsidR="00333A44" w:rsidRPr="00733D0B" w:rsidRDefault="00733D0B" w:rsidP="00733D0B">
      <w:pPr>
        <w:jc w:val="both"/>
        <w:rPr>
          <w:rFonts w:ascii="Calibri" w:eastAsia="Times New Roman" w:hAnsi="Calibri" w:cs="Calibri"/>
          <w:color w:val="000000"/>
          <w:lang w:eastAsia="pl-PL"/>
        </w:rPr>
      </w:pPr>
      <w:r>
        <w:rPr>
          <w:rFonts w:ascii="Calibri" w:eastAsia="Times New Roman" w:hAnsi="Calibri" w:cs="Calibri"/>
          <w:color w:val="000000"/>
          <w:lang w:eastAsia="pl-PL"/>
        </w:rPr>
        <w:t>W listopadzie 2025 r. rozstrzygnięto przetarg na 2026 r. Złożono jedną ofertę – Konsorcjum firm ZUK Ślemień oraz Beskid Żywiec. Ze względu na ofertę przewyższającą zabezpieczone środki zdecydowano o podniesieniu opłat na 2026 r.</w:t>
      </w:r>
    </w:p>
    <w:p w14:paraId="68873E6B" w14:textId="726421D8" w:rsidR="00B009D3" w:rsidRPr="00170B01" w:rsidRDefault="00333A44" w:rsidP="00170B01">
      <w:pPr>
        <w:jc w:val="both"/>
        <w:rPr>
          <w:rFonts w:eastAsia="Arial" w:cstheme="minorHAnsi"/>
        </w:rPr>
      </w:pPr>
      <w:r w:rsidRPr="00333A44">
        <w:rPr>
          <w:rFonts w:eastAsia="Arial" w:cstheme="minorHAnsi"/>
        </w:rPr>
        <w:t>Masa odpadów</w:t>
      </w:r>
      <w:r w:rsidR="00A93C47">
        <w:rPr>
          <w:rFonts w:eastAsia="Arial" w:cstheme="minorHAnsi"/>
        </w:rPr>
        <w:t xml:space="preserve"> 202</w:t>
      </w:r>
      <w:r w:rsidR="00733D0B">
        <w:rPr>
          <w:rFonts w:eastAsia="Arial" w:cstheme="minorHAnsi"/>
        </w:rPr>
        <w:t>5</w:t>
      </w:r>
      <w:r w:rsidR="00A93C47">
        <w:rPr>
          <w:rFonts w:eastAsia="Arial" w:cstheme="minorHAnsi"/>
        </w:rPr>
        <w:t xml:space="preserve"> r</w:t>
      </w:r>
      <w:r w:rsidR="00170B01">
        <w:rPr>
          <w:rFonts w:eastAsia="Arial" w:cstheme="minorHAnsi"/>
        </w:rPr>
        <w:t>. w odniesieniu do poprzednich lat</w:t>
      </w:r>
    </w:p>
    <w:tbl>
      <w:tblPr>
        <w:tblW w:w="7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2"/>
        <w:gridCol w:w="1701"/>
        <w:gridCol w:w="1657"/>
        <w:gridCol w:w="1603"/>
      </w:tblGrid>
      <w:tr w:rsidR="00B009D3" w:rsidRPr="00C50FDC" w14:paraId="526B08CA" w14:textId="77777777" w:rsidTr="0048568F">
        <w:trPr>
          <w:trHeight w:val="171"/>
          <w:jc w:val="center"/>
        </w:trPr>
        <w:tc>
          <w:tcPr>
            <w:tcW w:w="2902" w:type="dxa"/>
            <w:vAlign w:val="center"/>
          </w:tcPr>
          <w:p w14:paraId="14954EAF" w14:textId="77777777" w:rsidR="00B009D3" w:rsidRPr="00C50FDC" w:rsidRDefault="00B009D3" w:rsidP="00B009D3">
            <w:pPr>
              <w:spacing w:after="0"/>
              <w:jc w:val="center"/>
              <w:rPr>
                <w:rFonts w:cstheme="minorHAnsi"/>
              </w:rPr>
            </w:pPr>
            <w:r w:rsidRPr="00C50FDC">
              <w:rPr>
                <w:rFonts w:cstheme="minorHAnsi"/>
              </w:rPr>
              <w:t>Rodzaj odebranych odpadów komunalnych</w:t>
            </w:r>
          </w:p>
        </w:tc>
        <w:tc>
          <w:tcPr>
            <w:tcW w:w="1701" w:type="dxa"/>
            <w:vAlign w:val="center"/>
          </w:tcPr>
          <w:p w14:paraId="3EF856FB" w14:textId="01D7FA18" w:rsidR="00B009D3" w:rsidRPr="00C50FDC" w:rsidRDefault="00B009D3" w:rsidP="00B009D3">
            <w:pPr>
              <w:spacing w:after="0"/>
              <w:jc w:val="center"/>
              <w:rPr>
                <w:rFonts w:cstheme="minorHAnsi"/>
              </w:rPr>
            </w:pPr>
            <w:r w:rsidRPr="00C50FDC">
              <w:rPr>
                <w:rFonts w:cstheme="minorHAnsi"/>
              </w:rPr>
              <w:t>Masa odebranych odpadów komunalnych</w:t>
            </w:r>
            <w:r w:rsidRPr="00C50FDC">
              <w:rPr>
                <w:rFonts w:cstheme="minorHAnsi"/>
                <w:vertAlign w:val="superscript"/>
              </w:rPr>
              <w:t xml:space="preserve"> </w:t>
            </w:r>
            <w:r w:rsidRPr="00C50FDC">
              <w:rPr>
                <w:rFonts w:cstheme="minorHAnsi"/>
              </w:rPr>
              <w:t>[Mg] w</w:t>
            </w:r>
            <w:r w:rsidRPr="00C50FDC">
              <w:rPr>
                <w:rFonts w:cstheme="minorHAnsi"/>
                <w:b/>
                <w:bCs/>
              </w:rPr>
              <w:t xml:space="preserve"> 202</w:t>
            </w:r>
            <w:r w:rsidR="00E751AC">
              <w:rPr>
                <w:rFonts w:cstheme="minorHAnsi"/>
                <w:b/>
                <w:bCs/>
              </w:rPr>
              <w:t>3</w:t>
            </w:r>
            <w:r w:rsidRPr="00C50FDC">
              <w:rPr>
                <w:rFonts w:cstheme="minorHAnsi"/>
                <w:b/>
              </w:rPr>
              <w:t xml:space="preserve"> r.</w:t>
            </w:r>
          </w:p>
        </w:tc>
        <w:tc>
          <w:tcPr>
            <w:tcW w:w="1657" w:type="dxa"/>
          </w:tcPr>
          <w:p w14:paraId="582DB8FE" w14:textId="72CC07A9" w:rsidR="00B009D3" w:rsidRPr="00C50FDC" w:rsidRDefault="00B009D3" w:rsidP="00B009D3">
            <w:pPr>
              <w:spacing w:after="0"/>
              <w:jc w:val="center"/>
              <w:rPr>
                <w:rFonts w:cstheme="minorHAnsi"/>
              </w:rPr>
            </w:pPr>
            <w:r w:rsidRPr="00C50FDC">
              <w:rPr>
                <w:rFonts w:cstheme="minorHAnsi"/>
              </w:rPr>
              <w:t>Masa odebranych odpadów komunalnych</w:t>
            </w:r>
            <w:r w:rsidRPr="00C50FDC">
              <w:rPr>
                <w:rFonts w:cstheme="minorHAnsi"/>
                <w:vertAlign w:val="superscript"/>
              </w:rPr>
              <w:t xml:space="preserve"> </w:t>
            </w:r>
            <w:r w:rsidRPr="00C50FDC">
              <w:rPr>
                <w:rFonts w:cstheme="minorHAnsi"/>
              </w:rPr>
              <w:t>[Mg] w</w:t>
            </w:r>
            <w:r w:rsidRPr="00C50FDC">
              <w:rPr>
                <w:rFonts w:cstheme="minorHAnsi"/>
                <w:b/>
                <w:bCs/>
              </w:rPr>
              <w:t xml:space="preserve"> 20</w:t>
            </w:r>
            <w:r w:rsidR="00393A18">
              <w:rPr>
                <w:rFonts w:cstheme="minorHAnsi"/>
                <w:b/>
                <w:bCs/>
              </w:rPr>
              <w:t>24</w:t>
            </w:r>
            <w:r w:rsidRPr="00C50FDC">
              <w:rPr>
                <w:rFonts w:cstheme="minorHAnsi"/>
                <w:b/>
              </w:rPr>
              <w:t xml:space="preserve"> r.</w:t>
            </w:r>
          </w:p>
        </w:tc>
        <w:tc>
          <w:tcPr>
            <w:tcW w:w="1603" w:type="dxa"/>
          </w:tcPr>
          <w:p w14:paraId="6D1ED1FF" w14:textId="1FA84F2B" w:rsidR="00B009D3" w:rsidRPr="00C50FDC" w:rsidRDefault="008845ED" w:rsidP="00B009D3">
            <w:pPr>
              <w:spacing w:after="0"/>
              <w:jc w:val="center"/>
              <w:rPr>
                <w:rFonts w:cstheme="minorHAnsi"/>
              </w:rPr>
            </w:pPr>
            <w:r w:rsidRPr="00C50FDC">
              <w:rPr>
                <w:rFonts w:cstheme="minorHAnsi"/>
              </w:rPr>
              <w:t>Masa odebranych odpadów komunalnych</w:t>
            </w:r>
            <w:r w:rsidRPr="00C50FDC">
              <w:rPr>
                <w:rFonts w:cstheme="minorHAnsi"/>
                <w:vertAlign w:val="superscript"/>
              </w:rPr>
              <w:t xml:space="preserve"> </w:t>
            </w:r>
            <w:r w:rsidRPr="00C50FDC">
              <w:rPr>
                <w:rFonts w:cstheme="minorHAnsi"/>
              </w:rPr>
              <w:t>[Mg] w</w:t>
            </w:r>
            <w:r w:rsidRPr="00C50FDC">
              <w:rPr>
                <w:rFonts w:cstheme="minorHAnsi"/>
                <w:b/>
                <w:bCs/>
              </w:rPr>
              <w:t xml:space="preserve"> 20</w:t>
            </w:r>
            <w:r>
              <w:rPr>
                <w:rFonts w:cstheme="minorHAnsi"/>
                <w:b/>
                <w:bCs/>
              </w:rPr>
              <w:t xml:space="preserve">25 </w:t>
            </w:r>
            <w:r w:rsidRPr="00C50FDC">
              <w:rPr>
                <w:rFonts w:cstheme="minorHAnsi"/>
                <w:b/>
              </w:rPr>
              <w:t>r.</w:t>
            </w:r>
          </w:p>
        </w:tc>
      </w:tr>
      <w:tr w:rsidR="00FB1B7F" w:rsidRPr="00C50FDC" w14:paraId="1D9A307E" w14:textId="77777777" w:rsidTr="0048568F">
        <w:trPr>
          <w:trHeight w:val="171"/>
          <w:jc w:val="center"/>
        </w:trPr>
        <w:tc>
          <w:tcPr>
            <w:tcW w:w="2902" w:type="dxa"/>
            <w:vAlign w:val="center"/>
          </w:tcPr>
          <w:p w14:paraId="6F3D0F9C" w14:textId="77777777" w:rsidR="00FB1B7F" w:rsidRPr="00C50FDC" w:rsidRDefault="00FB1B7F" w:rsidP="00FB1B7F">
            <w:pPr>
              <w:spacing w:after="0"/>
              <w:rPr>
                <w:rFonts w:cstheme="minorHAnsi"/>
              </w:rPr>
            </w:pPr>
            <w:r w:rsidRPr="00C50FDC">
              <w:rPr>
                <w:rFonts w:cstheme="minorHAnsi"/>
              </w:rPr>
              <w:t>Opakowania z tworzyw sztucznych</w:t>
            </w:r>
          </w:p>
        </w:tc>
        <w:tc>
          <w:tcPr>
            <w:tcW w:w="1701" w:type="dxa"/>
            <w:vAlign w:val="center"/>
          </w:tcPr>
          <w:p w14:paraId="148CD8E6" w14:textId="2895282A" w:rsidR="00FB1B7F" w:rsidRPr="00C50FDC" w:rsidRDefault="00FB1B7F" w:rsidP="00FB1B7F">
            <w:pPr>
              <w:spacing w:after="0"/>
              <w:jc w:val="center"/>
              <w:rPr>
                <w:rFonts w:cstheme="minorHAnsi"/>
              </w:rPr>
            </w:pPr>
            <w:r>
              <w:rPr>
                <w:rFonts w:cstheme="minorHAnsi"/>
              </w:rPr>
              <w:t>118,59</w:t>
            </w:r>
          </w:p>
        </w:tc>
        <w:tc>
          <w:tcPr>
            <w:tcW w:w="1657" w:type="dxa"/>
            <w:vAlign w:val="center"/>
          </w:tcPr>
          <w:p w14:paraId="7A69A187" w14:textId="17EC0D44" w:rsidR="00FB1B7F" w:rsidRPr="00C50FDC" w:rsidRDefault="00FB1B7F" w:rsidP="00FB1B7F">
            <w:pPr>
              <w:spacing w:after="0"/>
              <w:jc w:val="center"/>
              <w:rPr>
                <w:rFonts w:cstheme="minorHAnsi"/>
              </w:rPr>
            </w:pPr>
            <w:r>
              <w:rPr>
                <w:rFonts w:cstheme="minorHAnsi"/>
              </w:rPr>
              <w:t>143,22</w:t>
            </w:r>
          </w:p>
        </w:tc>
        <w:tc>
          <w:tcPr>
            <w:tcW w:w="1603" w:type="dxa"/>
            <w:vAlign w:val="center"/>
          </w:tcPr>
          <w:p w14:paraId="4166BE2A" w14:textId="279379B3" w:rsidR="00FB1B7F" w:rsidRPr="00C50FDC" w:rsidRDefault="00170B01" w:rsidP="00FB1B7F">
            <w:pPr>
              <w:spacing w:after="0"/>
              <w:jc w:val="center"/>
              <w:rPr>
                <w:rFonts w:cstheme="minorHAnsi"/>
              </w:rPr>
            </w:pPr>
            <w:r>
              <w:rPr>
                <w:rFonts w:cstheme="minorHAnsi"/>
              </w:rPr>
              <w:t>163,96</w:t>
            </w:r>
          </w:p>
        </w:tc>
      </w:tr>
      <w:tr w:rsidR="00FB1B7F" w:rsidRPr="00C50FDC" w14:paraId="7D7D087C" w14:textId="77777777" w:rsidTr="0048568F">
        <w:trPr>
          <w:trHeight w:val="171"/>
          <w:jc w:val="center"/>
        </w:trPr>
        <w:tc>
          <w:tcPr>
            <w:tcW w:w="2902" w:type="dxa"/>
            <w:vAlign w:val="center"/>
          </w:tcPr>
          <w:p w14:paraId="3F432671" w14:textId="77777777" w:rsidR="00FB1B7F" w:rsidRPr="00C50FDC" w:rsidRDefault="00FB1B7F" w:rsidP="00FB1B7F">
            <w:pPr>
              <w:spacing w:after="0"/>
              <w:rPr>
                <w:rFonts w:cstheme="minorHAnsi"/>
              </w:rPr>
            </w:pPr>
            <w:r w:rsidRPr="00C50FDC">
              <w:rPr>
                <w:rFonts w:cstheme="minorHAnsi"/>
              </w:rPr>
              <w:t>Opakowania ze szkła</w:t>
            </w:r>
          </w:p>
        </w:tc>
        <w:tc>
          <w:tcPr>
            <w:tcW w:w="1701" w:type="dxa"/>
            <w:vAlign w:val="center"/>
          </w:tcPr>
          <w:p w14:paraId="0E26A0A2" w14:textId="16DD86AB" w:rsidR="00FB1B7F" w:rsidRPr="00C50FDC" w:rsidRDefault="00FB1B7F" w:rsidP="00FB1B7F">
            <w:pPr>
              <w:spacing w:after="0"/>
              <w:jc w:val="center"/>
              <w:rPr>
                <w:rFonts w:cstheme="minorHAnsi"/>
              </w:rPr>
            </w:pPr>
            <w:r>
              <w:rPr>
                <w:rFonts w:cstheme="minorHAnsi"/>
              </w:rPr>
              <w:t>59,48</w:t>
            </w:r>
          </w:p>
        </w:tc>
        <w:tc>
          <w:tcPr>
            <w:tcW w:w="1657" w:type="dxa"/>
            <w:vAlign w:val="center"/>
          </w:tcPr>
          <w:p w14:paraId="7AED29AF" w14:textId="003EE1BE" w:rsidR="00FB1B7F" w:rsidRPr="00C50FDC" w:rsidRDefault="00FB1B7F" w:rsidP="00FB1B7F">
            <w:pPr>
              <w:spacing w:after="0"/>
              <w:jc w:val="center"/>
              <w:rPr>
                <w:rFonts w:cstheme="minorHAnsi"/>
              </w:rPr>
            </w:pPr>
            <w:r>
              <w:rPr>
                <w:rFonts w:cstheme="minorHAnsi"/>
              </w:rPr>
              <w:t>72,6</w:t>
            </w:r>
          </w:p>
        </w:tc>
        <w:tc>
          <w:tcPr>
            <w:tcW w:w="1603" w:type="dxa"/>
            <w:vAlign w:val="center"/>
          </w:tcPr>
          <w:p w14:paraId="77651FAC" w14:textId="5F98236D" w:rsidR="00FB1B7F" w:rsidRPr="00C50FDC" w:rsidRDefault="00170B01" w:rsidP="00FB1B7F">
            <w:pPr>
              <w:spacing w:after="0"/>
              <w:jc w:val="center"/>
              <w:rPr>
                <w:rFonts w:cstheme="minorHAnsi"/>
              </w:rPr>
            </w:pPr>
            <w:r>
              <w:rPr>
                <w:rFonts w:cstheme="minorHAnsi"/>
              </w:rPr>
              <w:t>81,7</w:t>
            </w:r>
          </w:p>
        </w:tc>
      </w:tr>
      <w:tr w:rsidR="00FB1B7F" w:rsidRPr="00C50FDC" w14:paraId="2669E5D4" w14:textId="77777777" w:rsidTr="0048568F">
        <w:trPr>
          <w:trHeight w:val="171"/>
          <w:jc w:val="center"/>
        </w:trPr>
        <w:tc>
          <w:tcPr>
            <w:tcW w:w="2902" w:type="dxa"/>
            <w:vAlign w:val="center"/>
          </w:tcPr>
          <w:p w14:paraId="40BB78C1" w14:textId="77777777" w:rsidR="00FB1B7F" w:rsidRPr="00C50FDC" w:rsidRDefault="00FB1B7F" w:rsidP="00FB1B7F">
            <w:pPr>
              <w:spacing w:after="0"/>
              <w:rPr>
                <w:rFonts w:cstheme="minorHAnsi"/>
              </w:rPr>
            </w:pPr>
            <w:r w:rsidRPr="00C50FDC">
              <w:rPr>
                <w:rFonts w:cstheme="minorHAnsi"/>
              </w:rPr>
              <w:t>Opakowania z papieru i tektury</w:t>
            </w:r>
          </w:p>
        </w:tc>
        <w:tc>
          <w:tcPr>
            <w:tcW w:w="1701" w:type="dxa"/>
            <w:vAlign w:val="center"/>
          </w:tcPr>
          <w:p w14:paraId="731459C1" w14:textId="259C7575" w:rsidR="00FB1B7F" w:rsidRPr="00C50FDC" w:rsidRDefault="00FB1B7F" w:rsidP="00FB1B7F">
            <w:pPr>
              <w:spacing w:after="0"/>
              <w:jc w:val="center"/>
              <w:rPr>
                <w:rFonts w:cstheme="minorHAnsi"/>
              </w:rPr>
            </w:pPr>
            <w:r>
              <w:rPr>
                <w:rFonts w:cstheme="minorHAnsi"/>
              </w:rPr>
              <w:t>5,02</w:t>
            </w:r>
          </w:p>
        </w:tc>
        <w:tc>
          <w:tcPr>
            <w:tcW w:w="1657" w:type="dxa"/>
            <w:vAlign w:val="center"/>
          </w:tcPr>
          <w:p w14:paraId="6EC4328D" w14:textId="24C686A1" w:rsidR="00FB1B7F" w:rsidRPr="00C50FDC" w:rsidRDefault="00FB1B7F" w:rsidP="00FB1B7F">
            <w:pPr>
              <w:spacing w:after="0"/>
              <w:jc w:val="center"/>
              <w:rPr>
                <w:rFonts w:cstheme="minorHAnsi"/>
              </w:rPr>
            </w:pPr>
            <w:r>
              <w:rPr>
                <w:rFonts w:cstheme="minorHAnsi"/>
              </w:rPr>
              <w:t>0,66</w:t>
            </w:r>
          </w:p>
        </w:tc>
        <w:tc>
          <w:tcPr>
            <w:tcW w:w="1603" w:type="dxa"/>
            <w:vAlign w:val="center"/>
          </w:tcPr>
          <w:p w14:paraId="77D44BB9" w14:textId="5395183F" w:rsidR="00FB1B7F" w:rsidRPr="00C50FDC" w:rsidRDefault="00170B01" w:rsidP="00FB1B7F">
            <w:pPr>
              <w:spacing w:after="0"/>
              <w:jc w:val="center"/>
              <w:rPr>
                <w:rFonts w:cstheme="minorHAnsi"/>
              </w:rPr>
            </w:pPr>
            <w:r>
              <w:rPr>
                <w:rFonts w:cstheme="minorHAnsi"/>
              </w:rPr>
              <w:t>7,64</w:t>
            </w:r>
          </w:p>
        </w:tc>
      </w:tr>
      <w:tr w:rsidR="00FB1B7F" w:rsidRPr="00C50FDC" w14:paraId="23D210C9" w14:textId="77777777" w:rsidTr="0048568F">
        <w:trPr>
          <w:trHeight w:val="171"/>
          <w:jc w:val="center"/>
        </w:trPr>
        <w:tc>
          <w:tcPr>
            <w:tcW w:w="2902" w:type="dxa"/>
            <w:vAlign w:val="center"/>
          </w:tcPr>
          <w:p w14:paraId="47A2C5F7" w14:textId="77777777" w:rsidR="00FB1B7F" w:rsidRPr="00C50FDC" w:rsidRDefault="00FB1B7F" w:rsidP="00FB1B7F">
            <w:pPr>
              <w:spacing w:after="0"/>
              <w:rPr>
                <w:rFonts w:cstheme="minorHAnsi"/>
              </w:rPr>
            </w:pPr>
            <w:r w:rsidRPr="00C50FDC">
              <w:rPr>
                <w:rFonts w:cstheme="minorHAnsi"/>
              </w:rPr>
              <w:t>Inne odpady nieulęgające biodegradacji</w:t>
            </w:r>
          </w:p>
        </w:tc>
        <w:tc>
          <w:tcPr>
            <w:tcW w:w="1701" w:type="dxa"/>
            <w:vAlign w:val="center"/>
          </w:tcPr>
          <w:p w14:paraId="4A91674D" w14:textId="4B89C86B" w:rsidR="00FB1B7F" w:rsidRPr="00C50FDC" w:rsidRDefault="00FB1B7F" w:rsidP="00FB1B7F">
            <w:pPr>
              <w:spacing w:after="0"/>
              <w:jc w:val="center"/>
              <w:rPr>
                <w:rFonts w:cstheme="minorHAnsi"/>
              </w:rPr>
            </w:pPr>
            <w:r>
              <w:rPr>
                <w:rFonts w:cstheme="minorHAnsi"/>
              </w:rPr>
              <w:t>15,62</w:t>
            </w:r>
          </w:p>
        </w:tc>
        <w:tc>
          <w:tcPr>
            <w:tcW w:w="1657" w:type="dxa"/>
            <w:vAlign w:val="center"/>
          </w:tcPr>
          <w:p w14:paraId="4734D541" w14:textId="293AA44E" w:rsidR="00FB1B7F" w:rsidRPr="00C50FDC" w:rsidRDefault="00FB1B7F" w:rsidP="00FB1B7F">
            <w:pPr>
              <w:spacing w:after="0"/>
              <w:jc w:val="center"/>
              <w:rPr>
                <w:rFonts w:cstheme="minorHAnsi"/>
              </w:rPr>
            </w:pPr>
            <w:r>
              <w:rPr>
                <w:rFonts w:cstheme="minorHAnsi"/>
              </w:rPr>
              <w:t>17,76</w:t>
            </w:r>
          </w:p>
        </w:tc>
        <w:tc>
          <w:tcPr>
            <w:tcW w:w="1603" w:type="dxa"/>
            <w:vAlign w:val="center"/>
          </w:tcPr>
          <w:p w14:paraId="50E6081D" w14:textId="71C39651" w:rsidR="00FB1B7F" w:rsidRPr="00C50FDC" w:rsidRDefault="00FB1B7F" w:rsidP="00FB1B7F">
            <w:pPr>
              <w:spacing w:after="0"/>
              <w:jc w:val="center"/>
              <w:rPr>
                <w:rFonts w:cstheme="minorHAnsi"/>
              </w:rPr>
            </w:pPr>
            <w:r>
              <w:rPr>
                <w:rFonts w:cstheme="minorHAnsi"/>
              </w:rPr>
              <w:t>0</w:t>
            </w:r>
          </w:p>
        </w:tc>
      </w:tr>
      <w:tr w:rsidR="00FB1B7F" w:rsidRPr="00C50FDC" w14:paraId="6C5B6BDA" w14:textId="77777777" w:rsidTr="0048568F">
        <w:trPr>
          <w:trHeight w:val="171"/>
          <w:jc w:val="center"/>
        </w:trPr>
        <w:tc>
          <w:tcPr>
            <w:tcW w:w="2902" w:type="dxa"/>
            <w:vAlign w:val="center"/>
          </w:tcPr>
          <w:p w14:paraId="4CDAB71A" w14:textId="77777777" w:rsidR="00FB1B7F" w:rsidRPr="00C50FDC" w:rsidRDefault="00FB1B7F" w:rsidP="00FB1B7F">
            <w:pPr>
              <w:spacing w:after="0"/>
              <w:rPr>
                <w:rFonts w:cstheme="minorHAnsi"/>
              </w:rPr>
            </w:pPr>
            <w:r w:rsidRPr="00C50FDC">
              <w:rPr>
                <w:rFonts w:cstheme="minorHAnsi"/>
              </w:rPr>
              <w:t>Niesegregowane (zmieszane) odpady komunalne</w:t>
            </w:r>
          </w:p>
        </w:tc>
        <w:tc>
          <w:tcPr>
            <w:tcW w:w="1701" w:type="dxa"/>
            <w:vAlign w:val="center"/>
          </w:tcPr>
          <w:p w14:paraId="7DAF303E" w14:textId="7E923394" w:rsidR="00FB1B7F" w:rsidRPr="00C50FDC" w:rsidRDefault="00FB1B7F" w:rsidP="00FB1B7F">
            <w:pPr>
              <w:spacing w:after="0"/>
              <w:jc w:val="center"/>
              <w:rPr>
                <w:rFonts w:cstheme="minorHAnsi"/>
              </w:rPr>
            </w:pPr>
            <w:r>
              <w:rPr>
                <w:rFonts w:cstheme="minorHAnsi"/>
              </w:rPr>
              <w:t>304,5</w:t>
            </w:r>
          </w:p>
        </w:tc>
        <w:tc>
          <w:tcPr>
            <w:tcW w:w="1657" w:type="dxa"/>
            <w:vAlign w:val="center"/>
          </w:tcPr>
          <w:p w14:paraId="44DAA585" w14:textId="19296A7E" w:rsidR="00FB1B7F" w:rsidRPr="00C50FDC" w:rsidRDefault="00FB1B7F" w:rsidP="00FB1B7F">
            <w:pPr>
              <w:spacing w:after="0"/>
              <w:jc w:val="center"/>
              <w:rPr>
                <w:rFonts w:cstheme="minorHAnsi"/>
              </w:rPr>
            </w:pPr>
            <w:r>
              <w:rPr>
                <w:rFonts w:cstheme="minorHAnsi"/>
              </w:rPr>
              <w:t>304,93</w:t>
            </w:r>
          </w:p>
        </w:tc>
        <w:tc>
          <w:tcPr>
            <w:tcW w:w="1603" w:type="dxa"/>
            <w:vAlign w:val="center"/>
          </w:tcPr>
          <w:p w14:paraId="130CC7D8" w14:textId="208B85F3" w:rsidR="00FB1B7F" w:rsidRPr="00C50FDC" w:rsidRDefault="00170B01" w:rsidP="00FB1B7F">
            <w:pPr>
              <w:spacing w:after="0"/>
              <w:jc w:val="center"/>
              <w:rPr>
                <w:rFonts w:cstheme="minorHAnsi"/>
              </w:rPr>
            </w:pPr>
            <w:r>
              <w:rPr>
                <w:rFonts w:cstheme="minorHAnsi"/>
              </w:rPr>
              <w:t>275,46</w:t>
            </w:r>
          </w:p>
        </w:tc>
      </w:tr>
      <w:tr w:rsidR="00FB1B7F" w:rsidRPr="00C50FDC" w14:paraId="51BFF1FC" w14:textId="77777777" w:rsidTr="0048568F">
        <w:trPr>
          <w:trHeight w:val="171"/>
          <w:jc w:val="center"/>
        </w:trPr>
        <w:tc>
          <w:tcPr>
            <w:tcW w:w="2902" w:type="dxa"/>
            <w:vAlign w:val="center"/>
          </w:tcPr>
          <w:p w14:paraId="0A4587DB" w14:textId="77777777" w:rsidR="00FB1B7F" w:rsidRPr="00C50FDC" w:rsidRDefault="00FB1B7F" w:rsidP="00FB1B7F">
            <w:pPr>
              <w:spacing w:after="0"/>
              <w:rPr>
                <w:rFonts w:cstheme="minorHAnsi"/>
              </w:rPr>
            </w:pPr>
            <w:r w:rsidRPr="00C50FDC">
              <w:rPr>
                <w:rFonts w:cstheme="minorHAnsi"/>
              </w:rPr>
              <w:t>Odpady ulegające biodegradacji</w:t>
            </w:r>
          </w:p>
          <w:p w14:paraId="28798133" w14:textId="77777777" w:rsidR="00FB1B7F" w:rsidRPr="00C50FDC" w:rsidRDefault="00FB1B7F" w:rsidP="00FB1B7F">
            <w:pPr>
              <w:spacing w:after="0"/>
              <w:rPr>
                <w:rFonts w:cstheme="minorHAnsi"/>
              </w:rPr>
            </w:pPr>
            <w:r w:rsidRPr="00C50FDC">
              <w:rPr>
                <w:rFonts w:cstheme="minorHAnsi"/>
              </w:rPr>
              <w:t xml:space="preserve">(od 2022 tylko </w:t>
            </w:r>
            <w:r w:rsidRPr="00C50FDC">
              <w:rPr>
                <w:rFonts w:cstheme="minorHAnsi"/>
                <w:bCs/>
              </w:rPr>
              <w:t>odpady kuchenne ulegające biodegradacji)</w:t>
            </w:r>
          </w:p>
        </w:tc>
        <w:tc>
          <w:tcPr>
            <w:tcW w:w="1701" w:type="dxa"/>
            <w:vAlign w:val="center"/>
          </w:tcPr>
          <w:p w14:paraId="585E548C" w14:textId="0C26EAB5" w:rsidR="00FB1B7F" w:rsidRPr="00C50FDC" w:rsidRDefault="00FB1B7F" w:rsidP="00FB1B7F">
            <w:pPr>
              <w:spacing w:after="0"/>
              <w:jc w:val="center"/>
              <w:rPr>
                <w:rFonts w:cstheme="minorHAnsi"/>
              </w:rPr>
            </w:pPr>
            <w:r>
              <w:rPr>
                <w:rFonts w:cstheme="minorHAnsi"/>
              </w:rPr>
              <w:t>15,08</w:t>
            </w:r>
          </w:p>
        </w:tc>
        <w:tc>
          <w:tcPr>
            <w:tcW w:w="1657" w:type="dxa"/>
            <w:vAlign w:val="center"/>
          </w:tcPr>
          <w:p w14:paraId="35DE6297" w14:textId="58432BCD" w:rsidR="00FB1B7F" w:rsidRPr="00C50FDC" w:rsidRDefault="00FB1B7F" w:rsidP="00FB1B7F">
            <w:pPr>
              <w:spacing w:after="0"/>
              <w:jc w:val="center"/>
              <w:rPr>
                <w:rFonts w:cstheme="minorHAnsi"/>
              </w:rPr>
            </w:pPr>
            <w:r>
              <w:rPr>
                <w:rFonts w:cstheme="minorHAnsi"/>
              </w:rPr>
              <w:t>16,06</w:t>
            </w:r>
          </w:p>
        </w:tc>
        <w:tc>
          <w:tcPr>
            <w:tcW w:w="1603" w:type="dxa"/>
            <w:vAlign w:val="center"/>
          </w:tcPr>
          <w:p w14:paraId="2F790BA1" w14:textId="369AB287" w:rsidR="00FB1B7F" w:rsidRPr="00C50FDC" w:rsidRDefault="00170B01" w:rsidP="00FB1B7F">
            <w:pPr>
              <w:spacing w:after="0"/>
              <w:jc w:val="center"/>
              <w:rPr>
                <w:rFonts w:cstheme="minorHAnsi"/>
              </w:rPr>
            </w:pPr>
            <w:r>
              <w:rPr>
                <w:rFonts w:cstheme="minorHAnsi"/>
              </w:rPr>
              <w:t>13,4</w:t>
            </w:r>
          </w:p>
        </w:tc>
      </w:tr>
      <w:tr w:rsidR="00FB1B7F" w:rsidRPr="00C50FDC" w14:paraId="1B21DAF1" w14:textId="77777777" w:rsidTr="0048568F">
        <w:trPr>
          <w:trHeight w:val="171"/>
          <w:jc w:val="center"/>
        </w:trPr>
        <w:tc>
          <w:tcPr>
            <w:tcW w:w="2902" w:type="dxa"/>
            <w:vAlign w:val="center"/>
          </w:tcPr>
          <w:p w14:paraId="4BB329DC" w14:textId="77777777" w:rsidR="00FB1B7F" w:rsidRPr="00C50FDC" w:rsidRDefault="00FB1B7F" w:rsidP="00FB1B7F">
            <w:pPr>
              <w:spacing w:after="0"/>
              <w:rPr>
                <w:rFonts w:cstheme="minorHAnsi"/>
              </w:rPr>
            </w:pPr>
            <w:r w:rsidRPr="00C50FDC">
              <w:rPr>
                <w:rFonts w:cstheme="minorHAnsi"/>
              </w:rPr>
              <w:t>Popioły z palenisk domowych</w:t>
            </w:r>
          </w:p>
        </w:tc>
        <w:tc>
          <w:tcPr>
            <w:tcW w:w="1701" w:type="dxa"/>
            <w:vAlign w:val="center"/>
          </w:tcPr>
          <w:p w14:paraId="3359CA8B" w14:textId="3E4B9D4D" w:rsidR="00FB1B7F" w:rsidRPr="00C50FDC" w:rsidRDefault="00FB1B7F" w:rsidP="00FB1B7F">
            <w:pPr>
              <w:spacing w:after="0"/>
              <w:jc w:val="center"/>
              <w:rPr>
                <w:rFonts w:cstheme="minorHAnsi"/>
              </w:rPr>
            </w:pPr>
            <w:r>
              <w:rPr>
                <w:rFonts w:cstheme="minorHAnsi"/>
              </w:rPr>
              <w:t>269,88</w:t>
            </w:r>
          </w:p>
        </w:tc>
        <w:tc>
          <w:tcPr>
            <w:tcW w:w="1657" w:type="dxa"/>
            <w:vAlign w:val="center"/>
          </w:tcPr>
          <w:p w14:paraId="16BC065F" w14:textId="0C9BF67F" w:rsidR="00FB1B7F" w:rsidRPr="00C50FDC" w:rsidRDefault="00FB1B7F" w:rsidP="00FB1B7F">
            <w:pPr>
              <w:spacing w:after="0"/>
              <w:jc w:val="center"/>
              <w:rPr>
                <w:rFonts w:cstheme="minorHAnsi"/>
              </w:rPr>
            </w:pPr>
            <w:r>
              <w:rPr>
                <w:rFonts w:cstheme="minorHAnsi"/>
              </w:rPr>
              <w:t>214,6</w:t>
            </w:r>
          </w:p>
        </w:tc>
        <w:tc>
          <w:tcPr>
            <w:tcW w:w="1603" w:type="dxa"/>
            <w:vAlign w:val="center"/>
          </w:tcPr>
          <w:p w14:paraId="464D361D" w14:textId="2F23F59D" w:rsidR="00FB1B7F" w:rsidRPr="00C50FDC" w:rsidRDefault="00170B01" w:rsidP="00FB1B7F">
            <w:pPr>
              <w:spacing w:after="0"/>
              <w:jc w:val="center"/>
              <w:rPr>
                <w:rFonts w:cstheme="minorHAnsi"/>
              </w:rPr>
            </w:pPr>
            <w:r>
              <w:rPr>
                <w:rFonts w:cstheme="minorHAnsi"/>
              </w:rPr>
              <w:t>247,78</w:t>
            </w:r>
          </w:p>
        </w:tc>
      </w:tr>
      <w:tr w:rsidR="00FB1B7F" w:rsidRPr="00C50FDC" w14:paraId="0ED00B79" w14:textId="77777777" w:rsidTr="0048568F">
        <w:trPr>
          <w:trHeight w:val="171"/>
          <w:jc w:val="center"/>
        </w:trPr>
        <w:tc>
          <w:tcPr>
            <w:tcW w:w="2902" w:type="dxa"/>
            <w:vAlign w:val="center"/>
          </w:tcPr>
          <w:p w14:paraId="7CD9124F" w14:textId="77777777" w:rsidR="00FB1B7F" w:rsidRPr="00C50FDC" w:rsidRDefault="00FB1B7F" w:rsidP="00FB1B7F">
            <w:pPr>
              <w:spacing w:after="0"/>
              <w:rPr>
                <w:rFonts w:cstheme="minorHAnsi"/>
              </w:rPr>
            </w:pPr>
            <w:r w:rsidRPr="00C50FDC">
              <w:rPr>
                <w:rFonts w:cstheme="minorHAnsi"/>
              </w:rPr>
              <w:t>Zużyte opony</w:t>
            </w:r>
          </w:p>
        </w:tc>
        <w:tc>
          <w:tcPr>
            <w:tcW w:w="1701" w:type="dxa"/>
            <w:vAlign w:val="center"/>
          </w:tcPr>
          <w:p w14:paraId="2EA05AD5" w14:textId="730981D3" w:rsidR="00FB1B7F" w:rsidRPr="00C50FDC" w:rsidRDefault="00FB1B7F" w:rsidP="00FB1B7F">
            <w:pPr>
              <w:spacing w:after="0"/>
              <w:jc w:val="center"/>
              <w:rPr>
                <w:rFonts w:cstheme="minorHAnsi"/>
              </w:rPr>
            </w:pPr>
            <w:r>
              <w:rPr>
                <w:rFonts w:cstheme="minorHAnsi"/>
              </w:rPr>
              <w:t>11,92</w:t>
            </w:r>
          </w:p>
        </w:tc>
        <w:tc>
          <w:tcPr>
            <w:tcW w:w="1657" w:type="dxa"/>
            <w:vAlign w:val="center"/>
          </w:tcPr>
          <w:p w14:paraId="58C97A37" w14:textId="249B5072" w:rsidR="00FB1B7F" w:rsidRPr="00C50FDC" w:rsidRDefault="00FB1B7F" w:rsidP="00FB1B7F">
            <w:pPr>
              <w:spacing w:after="0"/>
              <w:jc w:val="center"/>
              <w:rPr>
                <w:rFonts w:cstheme="minorHAnsi"/>
              </w:rPr>
            </w:pPr>
            <w:r>
              <w:rPr>
                <w:rFonts w:cstheme="minorHAnsi"/>
              </w:rPr>
              <w:t>13,88</w:t>
            </w:r>
          </w:p>
        </w:tc>
        <w:tc>
          <w:tcPr>
            <w:tcW w:w="1603" w:type="dxa"/>
            <w:vAlign w:val="center"/>
          </w:tcPr>
          <w:p w14:paraId="44626BD8" w14:textId="3E4BE24C" w:rsidR="00FB1B7F" w:rsidRPr="00C50FDC" w:rsidRDefault="00170B01" w:rsidP="00FB1B7F">
            <w:pPr>
              <w:spacing w:after="0"/>
              <w:jc w:val="center"/>
              <w:rPr>
                <w:rFonts w:cstheme="minorHAnsi"/>
              </w:rPr>
            </w:pPr>
            <w:r>
              <w:rPr>
                <w:rFonts w:cstheme="minorHAnsi"/>
              </w:rPr>
              <w:t>19,92</w:t>
            </w:r>
          </w:p>
        </w:tc>
      </w:tr>
      <w:tr w:rsidR="00FB1B7F" w:rsidRPr="00C50FDC" w14:paraId="1CBA01AB" w14:textId="77777777" w:rsidTr="0048568F">
        <w:trPr>
          <w:trHeight w:val="171"/>
          <w:jc w:val="center"/>
        </w:trPr>
        <w:tc>
          <w:tcPr>
            <w:tcW w:w="2902" w:type="dxa"/>
            <w:vAlign w:val="center"/>
          </w:tcPr>
          <w:p w14:paraId="5E54D7CE" w14:textId="77777777" w:rsidR="00FB1B7F" w:rsidRPr="00C50FDC" w:rsidRDefault="00FB1B7F" w:rsidP="00FB1B7F">
            <w:pPr>
              <w:spacing w:after="0"/>
              <w:rPr>
                <w:rFonts w:cstheme="minorHAnsi"/>
              </w:rPr>
            </w:pPr>
            <w:r w:rsidRPr="00C50FDC">
              <w:rPr>
                <w:rFonts w:cstheme="minorHAnsi"/>
              </w:rPr>
              <w:t>Zmieszane odpady z betonu, gruzu ceglanego, odpadowych materiałów ceramicznych i elementów wyposażenia inne niż wymienione w 17 01 06</w:t>
            </w:r>
          </w:p>
        </w:tc>
        <w:tc>
          <w:tcPr>
            <w:tcW w:w="1701" w:type="dxa"/>
            <w:vAlign w:val="center"/>
          </w:tcPr>
          <w:p w14:paraId="77E7D22C" w14:textId="2CEF704F" w:rsidR="00FB1B7F" w:rsidRPr="00C50FDC" w:rsidRDefault="00FB1B7F" w:rsidP="00FB1B7F">
            <w:pPr>
              <w:spacing w:after="0"/>
              <w:jc w:val="center"/>
              <w:rPr>
                <w:rFonts w:cstheme="minorHAnsi"/>
              </w:rPr>
            </w:pPr>
            <w:r>
              <w:rPr>
                <w:rFonts w:cstheme="minorHAnsi"/>
              </w:rPr>
              <w:t>20,32</w:t>
            </w:r>
          </w:p>
        </w:tc>
        <w:tc>
          <w:tcPr>
            <w:tcW w:w="1657" w:type="dxa"/>
            <w:vAlign w:val="center"/>
          </w:tcPr>
          <w:p w14:paraId="1376E81C" w14:textId="715FE863" w:rsidR="00FB1B7F" w:rsidRPr="00C50FDC" w:rsidRDefault="00FB1B7F" w:rsidP="00FB1B7F">
            <w:pPr>
              <w:spacing w:after="0"/>
              <w:jc w:val="center"/>
              <w:rPr>
                <w:rFonts w:cstheme="minorHAnsi"/>
              </w:rPr>
            </w:pPr>
            <w:r>
              <w:rPr>
                <w:rFonts w:cstheme="minorHAnsi"/>
              </w:rPr>
              <w:t>28,08</w:t>
            </w:r>
          </w:p>
        </w:tc>
        <w:tc>
          <w:tcPr>
            <w:tcW w:w="1603" w:type="dxa"/>
            <w:vAlign w:val="center"/>
          </w:tcPr>
          <w:p w14:paraId="53B3330B" w14:textId="208CA34D" w:rsidR="00FB1B7F" w:rsidRPr="00C50FDC" w:rsidRDefault="00170B01" w:rsidP="00FB1B7F">
            <w:pPr>
              <w:spacing w:after="0"/>
              <w:jc w:val="center"/>
              <w:rPr>
                <w:rFonts w:cstheme="minorHAnsi"/>
              </w:rPr>
            </w:pPr>
            <w:r>
              <w:rPr>
                <w:rFonts w:cstheme="minorHAnsi"/>
              </w:rPr>
              <w:t>27,48</w:t>
            </w:r>
          </w:p>
        </w:tc>
      </w:tr>
      <w:tr w:rsidR="00FB1B7F" w:rsidRPr="00C50FDC" w14:paraId="0A7D6895" w14:textId="77777777" w:rsidTr="0048568F">
        <w:trPr>
          <w:trHeight w:val="171"/>
          <w:jc w:val="center"/>
        </w:trPr>
        <w:tc>
          <w:tcPr>
            <w:tcW w:w="2902" w:type="dxa"/>
            <w:vAlign w:val="center"/>
          </w:tcPr>
          <w:p w14:paraId="26DEBA57" w14:textId="77777777" w:rsidR="00FB1B7F" w:rsidRPr="00C50FDC" w:rsidRDefault="00FB1B7F" w:rsidP="00FB1B7F">
            <w:pPr>
              <w:spacing w:after="0"/>
              <w:rPr>
                <w:rFonts w:cstheme="minorHAnsi"/>
              </w:rPr>
            </w:pPr>
            <w:r w:rsidRPr="00C50FDC">
              <w:rPr>
                <w:rFonts w:cstheme="minorHAnsi"/>
              </w:rPr>
              <w:t>Odpady wielkogabarytowe</w:t>
            </w:r>
          </w:p>
        </w:tc>
        <w:tc>
          <w:tcPr>
            <w:tcW w:w="1701" w:type="dxa"/>
            <w:vAlign w:val="center"/>
          </w:tcPr>
          <w:p w14:paraId="499F5E71" w14:textId="3B6F79BA" w:rsidR="00FB1B7F" w:rsidRPr="00C50FDC" w:rsidRDefault="00FB1B7F" w:rsidP="00FB1B7F">
            <w:pPr>
              <w:spacing w:after="0"/>
              <w:jc w:val="center"/>
              <w:rPr>
                <w:rFonts w:cstheme="minorHAnsi"/>
              </w:rPr>
            </w:pPr>
            <w:r>
              <w:rPr>
                <w:rFonts w:cstheme="minorHAnsi"/>
              </w:rPr>
              <w:t>29,30</w:t>
            </w:r>
          </w:p>
        </w:tc>
        <w:tc>
          <w:tcPr>
            <w:tcW w:w="1657" w:type="dxa"/>
            <w:vAlign w:val="center"/>
          </w:tcPr>
          <w:p w14:paraId="01F6EFCB" w14:textId="425840B7" w:rsidR="00FB1B7F" w:rsidRPr="00C50FDC" w:rsidRDefault="00FB1B7F" w:rsidP="00FB1B7F">
            <w:pPr>
              <w:spacing w:after="0"/>
              <w:jc w:val="center"/>
              <w:rPr>
                <w:rFonts w:cstheme="minorHAnsi"/>
              </w:rPr>
            </w:pPr>
            <w:r>
              <w:rPr>
                <w:rFonts w:cstheme="minorHAnsi"/>
              </w:rPr>
              <w:t>40,72</w:t>
            </w:r>
          </w:p>
        </w:tc>
        <w:tc>
          <w:tcPr>
            <w:tcW w:w="1603" w:type="dxa"/>
            <w:vAlign w:val="center"/>
          </w:tcPr>
          <w:p w14:paraId="7959F0F2" w14:textId="0FD474D6" w:rsidR="00FB1B7F" w:rsidRPr="00C50FDC" w:rsidRDefault="00170B01" w:rsidP="00FB1B7F">
            <w:pPr>
              <w:spacing w:after="0"/>
              <w:jc w:val="center"/>
              <w:rPr>
                <w:rFonts w:cstheme="minorHAnsi"/>
              </w:rPr>
            </w:pPr>
            <w:r>
              <w:rPr>
                <w:rFonts w:cstheme="minorHAnsi"/>
              </w:rPr>
              <w:t>50,62</w:t>
            </w:r>
          </w:p>
        </w:tc>
      </w:tr>
      <w:tr w:rsidR="00FB1B7F" w:rsidRPr="00C50FDC" w14:paraId="3C845F21" w14:textId="77777777" w:rsidTr="0048568F">
        <w:trPr>
          <w:trHeight w:val="3198"/>
          <w:jc w:val="center"/>
        </w:trPr>
        <w:tc>
          <w:tcPr>
            <w:tcW w:w="2902" w:type="dxa"/>
            <w:vAlign w:val="center"/>
          </w:tcPr>
          <w:p w14:paraId="0821DF7E" w14:textId="77777777" w:rsidR="00FB1B7F" w:rsidRPr="00C50FDC" w:rsidRDefault="00FB1B7F" w:rsidP="00FB1B7F">
            <w:pPr>
              <w:spacing w:after="0"/>
              <w:rPr>
                <w:rFonts w:cstheme="minorHAnsi"/>
              </w:rPr>
            </w:pPr>
            <w:r w:rsidRPr="00C50FDC">
              <w:rPr>
                <w:rFonts w:cstheme="minorHAnsi"/>
              </w:rPr>
              <w:t>Zużyte urządzenia elektryczne i elektroniczne inne niż wymienione w 200121, 200123 i 200135</w:t>
            </w:r>
          </w:p>
          <w:p w14:paraId="1687A391" w14:textId="77777777" w:rsidR="00FB1B7F" w:rsidRPr="00C50FDC" w:rsidRDefault="00FB1B7F" w:rsidP="00FB1B7F">
            <w:pPr>
              <w:spacing w:after="0"/>
              <w:rPr>
                <w:rFonts w:cstheme="minorHAnsi"/>
              </w:rPr>
            </w:pPr>
            <w:r w:rsidRPr="00C50FDC">
              <w:rPr>
                <w:rFonts w:cstheme="minorHAnsi"/>
              </w:rPr>
              <w:t>Zużyte urządzenia elektryczne i elektroniczne inne niż wymienione w 200121, 200123 zawierające niebezpieczne składniki</w:t>
            </w:r>
          </w:p>
          <w:p w14:paraId="6C9AAD64" w14:textId="77777777" w:rsidR="00FB1B7F" w:rsidRPr="00C50FDC" w:rsidRDefault="00FB1B7F" w:rsidP="00FB1B7F">
            <w:pPr>
              <w:spacing w:after="0"/>
              <w:rPr>
                <w:rFonts w:cstheme="minorHAnsi"/>
              </w:rPr>
            </w:pPr>
            <w:r w:rsidRPr="00C50FDC">
              <w:rPr>
                <w:rFonts w:cstheme="minorHAnsi"/>
              </w:rPr>
              <w:t>Urządzenia zawierające freony</w:t>
            </w:r>
          </w:p>
        </w:tc>
        <w:tc>
          <w:tcPr>
            <w:tcW w:w="1701" w:type="dxa"/>
            <w:vAlign w:val="center"/>
          </w:tcPr>
          <w:p w14:paraId="04FACC9E" w14:textId="41E287B2" w:rsidR="00FB1B7F" w:rsidRPr="00C50FDC" w:rsidRDefault="00FB1B7F" w:rsidP="00FB1B7F">
            <w:pPr>
              <w:spacing w:after="0"/>
              <w:jc w:val="center"/>
              <w:rPr>
                <w:rFonts w:cstheme="minorHAnsi"/>
              </w:rPr>
            </w:pPr>
            <w:r>
              <w:rPr>
                <w:rFonts w:cstheme="minorHAnsi"/>
              </w:rPr>
              <w:t>2,92</w:t>
            </w:r>
          </w:p>
        </w:tc>
        <w:tc>
          <w:tcPr>
            <w:tcW w:w="1657" w:type="dxa"/>
            <w:vAlign w:val="center"/>
          </w:tcPr>
          <w:p w14:paraId="24888378" w14:textId="1CA1A21F" w:rsidR="00FB1B7F" w:rsidRPr="00C50FDC" w:rsidRDefault="00FB1B7F" w:rsidP="00FB1B7F">
            <w:pPr>
              <w:spacing w:after="0"/>
              <w:jc w:val="center"/>
              <w:rPr>
                <w:rFonts w:cstheme="minorHAnsi"/>
              </w:rPr>
            </w:pPr>
            <w:r>
              <w:rPr>
                <w:rFonts w:cstheme="minorHAnsi"/>
              </w:rPr>
              <w:t>4,42</w:t>
            </w:r>
          </w:p>
        </w:tc>
        <w:tc>
          <w:tcPr>
            <w:tcW w:w="1603" w:type="dxa"/>
            <w:vAlign w:val="center"/>
          </w:tcPr>
          <w:p w14:paraId="242863AB" w14:textId="4BEF5F94" w:rsidR="00FB1B7F" w:rsidRPr="00C50FDC" w:rsidRDefault="00170B01" w:rsidP="00FB1B7F">
            <w:pPr>
              <w:spacing w:after="0"/>
              <w:jc w:val="center"/>
              <w:rPr>
                <w:rFonts w:cstheme="minorHAnsi"/>
              </w:rPr>
            </w:pPr>
            <w:r>
              <w:rPr>
                <w:rFonts w:cstheme="minorHAnsi"/>
              </w:rPr>
              <w:t>5,77</w:t>
            </w:r>
          </w:p>
        </w:tc>
      </w:tr>
      <w:tr w:rsidR="00FB1B7F" w:rsidRPr="00C50FDC" w14:paraId="150EFD04" w14:textId="77777777" w:rsidTr="0048568F">
        <w:trPr>
          <w:trHeight w:hRule="exact" w:val="571"/>
          <w:jc w:val="center"/>
        </w:trPr>
        <w:tc>
          <w:tcPr>
            <w:tcW w:w="2902" w:type="dxa"/>
            <w:vAlign w:val="center"/>
          </w:tcPr>
          <w:p w14:paraId="3D423DD2" w14:textId="77777777" w:rsidR="00FB1B7F" w:rsidRPr="00C50FDC" w:rsidRDefault="00FB1B7F" w:rsidP="00FB1B7F">
            <w:pPr>
              <w:spacing w:after="0"/>
              <w:jc w:val="right"/>
              <w:rPr>
                <w:rFonts w:cstheme="minorHAnsi"/>
                <w:b/>
                <w:bCs/>
              </w:rPr>
            </w:pPr>
            <w:r w:rsidRPr="00C50FDC">
              <w:rPr>
                <w:rFonts w:cstheme="minorHAnsi"/>
                <w:b/>
                <w:bCs/>
              </w:rPr>
              <w:t>Suma</w:t>
            </w:r>
          </w:p>
        </w:tc>
        <w:tc>
          <w:tcPr>
            <w:tcW w:w="1701" w:type="dxa"/>
            <w:vAlign w:val="center"/>
          </w:tcPr>
          <w:p w14:paraId="314A6A0C" w14:textId="091D4592" w:rsidR="00FB1B7F" w:rsidRPr="00C50FDC" w:rsidRDefault="00FB1B7F" w:rsidP="00FB1B7F">
            <w:pPr>
              <w:spacing w:after="0"/>
              <w:jc w:val="center"/>
              <w:rPr>
                <w:rFonts w:cstheme="minorHAnsi"/>
              </w:rPr>
            </w:pPr>
            <w:r>
              <w:rPr>
                <w:rFonts w:cstheme="minorHAnsi"/>
              </w:rPr>
              <w:t>852,63</w:t>
            </w:r>
          </w:p>
        </w:tc>
        <w:tc>
          <w:tcPr>
            <w:tcW w:w="1657" w:type="dxa"/>
            <w:vAlign w:val="center"/>
          </w:tcPr>
          <w:p w14:paraId="0ED31026" w14:textId="7A0F4DF4" w:rsidR="00FB1B7F" w:rsidRPr="00C50FDC" w:rsidRDefault="00FB1B7F" w:rsidP="00FB1B7F">
            <w:pPr>
              <w:spacing w:after="0"/>
              <w:jc w:val="center"/>
              <w:rPr>
                <w:rFonts w:cstheme="minorHAnsi"/>
              </w:rPr>
            </w:pPr>
            <w:r>
              <w:rPr>
                <w:rFonts w:cstheme="minorHAnsi"/>
              </w:rPr>
              <w:t>856,93</w:t>
            </w:r>
          </w:p>
        </w:tc>
        <w:tc>
          <w:tcPr>
            <w:tcW w:w="1603" w:type="dxa"/>
            <w:vAlign w:val="center"/>
          </w:tcPr>
          <w:p w14:paraId="521F47B6" w14:textId="2E2D2AF4" w:rsidR="00FB1B7F" w:rsidRPr="00C50FDC" w:rsidRDefault="00170B01" w:rsidP="00FB1B7F">
            <w:pPr>
              <w:spacing w:after="0"/>
              <w:jc w:val="center"/>
              <w:rPr>
                <w:rFonts w:cstheme="minorHAnsi"/>
              </w:rPr>
            </w:pPr>
            <w:r>
              <w:rPr>
                <w:rFonts w:cstheme="minorHAnsi"/>
              </w:rPr>
              <w:t>893,73</w:t>
            </w:r>
          </w:p>
        </w:tc>
      </w:tr>
    </w:tbl>
    <w:p w14:paraId="04DC5AD5" w14:textId="77777777" w:rsidR="00B009D3" w:rsidRPr="00C879D2" w:rsidRDefault="00B009D3" w:rsidP="00C879D2">
      <w:pPr>
        <w:ind w:firstLine="709"/>
        <w:jc w:val="both"/>
        <w:rPr>
          <w:rFonts w:cs="Calibri"/>
          <w:bCs/>
        </w:rPr>
      </w:pPr>
    </w:p>
    <w:p w14:paraId="0390F3ED" w14:textId="1909949A" w:rsidR="009779A4" w:rsidRDefault="009779A4" w:rsidP="00714782">
      <w:pPr>
        <w:ind w:firstLine="709"/>
        <w:jc w:val="both"/>
        <w:rPr>
          <w:rFonts w:cstheme="minorHAnsi"/>
        </w:rPr>
      </w:pPr>
      <w:r w:rsidRPr="00FF2C45">
        <w:rPr>
          <w:rFonts w:cstheme="minorHAnsi"/>
        </w:rPr>
        <w:lastRenderedPageBreak/>
        <w:t>Z nieruchomości</w:t>
      </w:r>
      <w:r w:rsidR="007D3C7F" w:rsidRPr="00FF2C45">
        <w:rPr>
          <w:rFonts w:cstheme="minorHAnsi"/>
        </w:rPr>
        <w:t xml:space="preserve"> zlokalizowanych na terenie gminy Ślemień</w:t>
      </w:r>
      <w:r w:rsidR="00D07617" w:rsidRPr="00FF2C45">
        <w:rPr>
          <w:rFonts w:cstheme="minorHAnsi"/>
        </w:rPr>
        <w:t xml:space="preserve"> odpady wielkogabarytowe są </w:t>
      </w:r>
      <w:r w:rsidR="00FC1159">
        <w:rPr>
          <w:rFonts w:cstheme="minorHAnsi"/>
        </w:rPr>
        <w:t>raz</w:t>
      </w:r>
      <w:r w:rsidR="00FF2C45" w:rsidRPr="00FF2C45">
        <w:rPr>
          <w:rFonts w:cstheme="minorHAnsi"/>
        </w:rPr>
        <w:t xml:space="preserve"> w roku</w:t>
      </w:r>
      <w:r w:rsidR="00D07617" w:rsidRPr="00FF2C45">
        <w:rPr>
          <w:rFonts w:cstheme="minorHAnsi"/>
        </w:rPr>
        <w:t xml:space="preserve">, odpady remontowo-budowlane raz w roku, bioodpady </w:t>
      </w:r>
      <w:r w:rsidR="00C879D2">
        <w:rPr>
          <w:rFonts w:cstheme="minorHAnsi"/>
        </w:rPr>
        <w:t xml:space="preserve">w okresie na </w:t>
      </w:r>
      <w:proofErr w:type="gramStart"/>
      <w:r w:rsidR="00C879D2">
        <w:rPr>
          <w:rFonts w:cstheme="minorHAnsi"/>
        </w:rPr>
        <w:t>maja do</w:t>
      </w:r>
      <w:proofErr w:type="gramEnd"/>
      <w:r w:rsidR="00C879D2">
        <w:rPr>
          <w:rFonts w:cstheme="minorHAnsi"/>
        </w:rPr>
        <w:t xml:space="preserve"> czerwca dwa razy w miesiącu</w:t>
      </w:r>
      <w:r w:rsidR="00FF2C45" w:rsidRPr="00FF2C45">
        <w:rPr>
          <w:rFonts w:cstheme="minorHAnsi"/>
        </w:rPr>
        <w:t xml:space="preserve">, </w:t>
      </w:r>
      <w:r w:rsidR="00D07617" w:rsidRPr="00FF2C45">
        <w:rPr>
          <w:rFonts w:cstheme="minorHAnsi"/>
        </w:rPr>
        <w:t>popiół w okresie zimowy</w:t>
      </w:r>
      <w:r w:rsidR="007D3C7F" w:rsidRPr="00FF2C45">
        <w:rPr>
          <w:rFonts w:cstheme="minorHAnsi"/>
        </w:rPr>
        <w:t>m</w:t>
      </w:r>
      <w:r w:rsidR="00D07617" w:rsidRPr="00FF2C45">
        <w:rPr>
          <w:rFonts w:cstheme="minorHAnsi"/>
        </w:rPr>
        <w:t xml:space="preserve"> dwa razy w miesiącu, natomiast w okresie letnim raz na miesiąc „na zgłoszenie”</w:t>
      </w:r>
      <w:r w:rsidR="00393A18">
        <w:rPr>
          <w:rFonts w:cstheme="minorHAnsi"/>
        </w:rPr>
        <w:t>.</w:t>
      </w:r>
    </w:p>
    <w:p w14:paraId="05957BF5" w14:textId="4D9B3CC2" w:rsidR="00170B01" w:rsidRPr="00240E13" w:rsidRDefault="00393A18" w:rsidP="00170B01">
      <w:pPr>
        <w:ind w:firstLine="709"/>
        <w:jc w:val="both"/>
        <w:rPr>
          <w:rFonts w:cstheme="minorHAnsi"/>
        </w:rPr>
      </w:pPr>
      <w:r w:rsidRPr="00240E13">
        <w:rPr>
          <w:rFonts w:cstheme="minorHAnsi"/>
        </w:rPr>
        <w:t>Wskaźnik recyklingu za 202</w:t>
      </w:r>
      <w:r w:rsidR="00170B01" w:rsidRPr="00240E13">
        <w:rPr>
          <w:rFonts w:cstheme="minorHAnsi"/>
        </w:rPr>
        <w:t>5</w:t>
      </w:r>
      <w:r w:rsidRPr="00240E13">
        <w:rPr>
          <w:rFonts w:cstheme="minorHAnsi"/>
        </w:rPr>
        <w:t xml:space="preserve"> rok wyniósł </w:t>
      </w:r>
      <w:r w:rsidR="00240E13" w:rsidRPr="00240E13">
        <w:rPr>
          <w:rFonts w:cstheme="minorHAnsi"/>
        </w:rPr>
        <w:t>56,38</w:t>
      </w:r>
      <w:r w:rsidR="00200379" w:rsidRPr="00240E13">
        <w:rPr>
          <w:rFonts w:cstheme="minorHAnsi"/>
        </w:rPr>
        <w:t xml:space="preserve">% </w:t>
      </w:r>
      <w:r w:rsidR="00357DC2" w:rsidRPr="00240E13">
        <w:rPr>
          <w:rFonts w:cstheme="minorHAnsi"/>
        </w:rPr>
        <w:t>(wymagany poziom za 202</w:t>
      </w:r>
      <w:r w:rsidR="00170B01" w:rsidRPr="00240E13">
        <w:rPr>
          <w:rFonts w:cstheme="minorHAnsi"/>
        </w:rPr>
        <w:t>5</w:t>
      </w:r>
      <w:r w:rsidR="00357DC2" w:rsidRPr="00240E13">
        <w:rPr>
          <w:rFonts w:cstheme="minorHAnsi"/>
        </w:rPr>
        <w:t xml:space="preserve"> r. wynosi </w:t>
      </w:r>
      <w:r w:rsidR="00170B01" w:rsidRPr="00240E13">
        <w:rPr>
          <w:rFonts w:cstheme="minorHAnsi"/>
        </w:rPr>
        <w:t>5</w:t>
      </w:r>
      <w:r w:rsidR="00357DC2" w:rsidRPr="00240E13">
        <w:rPr>
          <w:rFonts w:cstheme="minorHAnsi"/>
        </w:rPr>
        <w:t>5%).</w:t>
      </w:r>
      <w:r w:rsidR="001A23F1" w:rsidRPr="00240E13">
        <w:rPr>
          <w:rFonts w:cstheme="minorHAnsi"/>
        </w:rPr>
        <w:t xml:space="preserve"> W sprawozdaniu za 202</w:t>
      </w:r>
      <w:r w:rsidR="00170B01" w:rsidRPr="00240E13">
        <w:rPr>
          <w:rFonts w:cstheme="minorHAnsi"/>
        </w:rPr>
        <w:t>5</w:t>
      </w:r>
      <w:r w:rsidR="001A23F1" w:rsidRPr="00240E13">
        <w:rPr>
          <w:rFonts w:cstheme="minorHAnsi"/>
        </w:rPr>
        <w:t xml:space="preserve"> uwzględniono masę bioodpadów stanowiących odpady komunalne posegregowanych i poddanych recyklingowi. </w:t>
      </w:r>
      <w:r w:rsidR="00170B01" w:rsidRPr="00240E13">
        <w:rPr>
          <w:rFonts w:cstheme="minorHAnsi"/>
        </w:rPr>
        <w:t>Liczba osób z kompostownikami 1750, powierzchnia terenów zielonych 194099 m2 (dane z https://polska.geoportal2.pl/map/www/mapa.php?mapa=polska). Wyliczenie (102,13 x 1750 / 1000) + (194099 x 2,87 /</w:t>
      </w:r>
      <w:proofErr w:type="gramStart"/>
      <w:r w:rsidR="00170B01" w:rsidRPr="00240E13">
        <w:rPr>
          <w:rFonts w:cstheme="minorHAnsi"/>
        </w:rPr>
        <w:t>1000 )</w:t>
      </w:r>
      <w:proofErr w:type="gramEnd"/>
      <w:r w:rsidR="00170B01" w:rsidRPr="00240E13">
        <w:rPr>
          <w:rFonts w:cstheme="minorHAnsi"/>
        </w:rPr>
        <w:t xml:space="preserve"> = 735,7916 </w:t>
      </w:r>
      <w:proofErr w:type="gramStart"/>
      <w:r w:rsidR="00170B01" w:rsidRPr="00240E13">
        <w:rPr>
          <w:rFonts w:cstheme="minorHAnsi"/>
        </w:rPr>
        <w:t>Mg .</w:t>
      </w:r>
      <w:proofErr w:type="gramEnd"/>
      <w:r w:rsidR="00170B01" w:rsidRPr="00240E13">
        <w:rPr>
          <w:rFonts w:cstheme="minorHAnsi"/>
        </w:rPr>
        <w:t xml:space="preserve"> Dodatkowo po raz pierwszy uwzględniono popioły z palenisk domowych (pod kodem 20 01 99) w ilości </w:t>
      </w:r>
      <w:r w:rsidR="00240E13" w:rsidRPr="00240E13">
        <w:rPr>
          <w:rFonts w:cstheme="minorHAnsi"/>
        </w:rPr>
        <w:t>35,5156 Mg</w:t>
      </w:r>
      <w:r w:rsidR="00170B01" w:rsidRPr="00240E13">
        <w:rPr>
          <w:rFonts w:cstheme="minorHAnsi"/>
        </w:rPr>
        <w:t xml:space="preserve"> przekazanych do instalacji </w:t>
      </w:r>
      <w:proofErr w:type="spellStart"/>
      <w:r w:rsidR="00170B01" w:rsidRPr="00240E13">
        <w:rPr>
          <w:rFonts w:cstheme="minorHAnsi"/>
        </w:rPr>
        <w:t>Sego</w:t>
      </w:r>
      <w:proofErr w:type="spellEnd"/>
    </w:p>
    <w:p w14:paraId="19D1E900" w14:textId="24E46A63" w:rsidR="00D07617" w:rsidRPr="00240E13" w:rsidRDefault="00D07617" w:rsidP="00E703DC">
      <w:pPr>
        <w:jc w:val="both"/>
        <w:rPr>
          <w:rFonts w:cstheme="minorHAnsi"/>
        </w:rPr>
      </w:pPr>
    </w:p>
    <w:p w14:paraId="69D21315" w14:textId="1371E2D6" w:rsidR="00D07617" w:rsidRPr="00FF2C45" w:rsidRDefault="00D07617" w:rsidP="00E703DC">
      <w:pPr>
        <w:jc w:val="both"/>
        <w:rPr>
          <w:rFonts w:cstheme="minorHAnsi"/>
        </w:rPr>
      </w:pPr>
      <w:r w:rsidRPr="00FF2C45">
        <w:rPr>
          <w:rFonts w:cstheme="minorHAnsi"/>
        </w:rPr>
        <w:t>AZBEST</w:t>
      </w:r>
    </w:p>
    <w:p w14:paraId="61220A7C" w14:textId="4D047A30" w:rsidR="00D07617" w:rsidRDefault="00D07617" w:rsidP="00E703DC">
      <w:pPr>
        <w:jc w:val="both"/>
        <w:rPr>
          <w:rFonts w:cstheme="minorHAnsi"/>
          <w:bCs/>
        </w:rPr>
      </w:pPr>
      <w:r w:rsidRPr="00FF2C45">
        <w:rPr>
          <w:rFonts w:cstheme="minorHAnsi"/>
        </w:rPr>
        <w:t xml:space="preserve">Na podstawie </w:t>
      </w:r>
      <w:r w:rsidRPr="00FF2C45">
        <w:rPr>
          <w:rFonts w:cstheme="minorHAnsi"/>
          <w:i/>
        </w:rPr>
        <w:t xml:space="preserve">uchwały </w:t>
      </w:r>
      <w:r w:rsidRPr="00FF2C45">
        <w:rPr>
          <w:rFonts w:cstheme="minorHAnsi"/>
          <w:bCs/>
          <w:i/>
        </w:rPr>
        <w:t>nr XLVII.255.2017</w:t>
      </w:r>
      <w:r w:rsidRPr="00FF2C45">
        <w:rPr>
          <w:rFonts w:cstheme="minorHAnsi"/>
          <w:i/>
        </w:rPr>
        <w:t xml:space="preserve"> </w:t>
      </w:r>
      <w:r w:rsidRPr="00FF2C45">
        <w:rPr>
          <w:rFonts w:cstheme="minorHAnsi"/>
          <w:bCs/>
          <w:i/>
        </w:rPr>
        <w:t xml:space="preserve">Rady Gminy w Ślemieniu </w:t>
      </w:r>
      <w:r w:rsidRPr="00FF2C45">
        <w:rPr>
          <w:rFonts w:cstheme="minorHAnsi"/>
          <w:i/>
        </w:rPr>
        <w:t xml:space="preserve">z dnia 30 listopada 2017 r. w sprawie „zmiany uchwały nr </w:t>
      </w:r>
      <w:r w:rsidRPr="00FF2C45">
        <w:rPr>
          <w:rFonts w:cstheme="minorHAnsi"/>
          <w:bCs/>
          <w:i/>
        </w:rPr>
        <w:t xml:space="preserve">XLIII.228.2017 </w:t>
      </w:r>
      <w:r w:rsidRPr="00FF2C45">
        <w:rPr>
          <w:rFonts w:cstheme="minorHAnsi"/>
          <w:i/>
        </w:rPr>
        <w:t xml:space="preserve">Rady Gminy w Ślemieniu z dnia 20 lipca 2017 roku w sprawie </w:t>
      </w:r>
      <w:r w:rsidRPr="00FF2C45">
        <w:rPr>
          <w:rFonts w:cstheme="minorHAnsi"/>
          <w:bCs/>
          <w:i/>
        </w:rPr>
        <w:t xml:space="preserve">zasad udzielania dotacji celowej na dofinansowanie kosztów usuwania wyrobów zawierających azbest </w:t>
      </w:r>
      <w:r w:rsidR="00E703DC" w:rsidRPr="00FF2C45">
        <w:rPr>
          <w:rFonts w:cstheme="minorHAnsi"/>
          <w:bCs/>
          <w:i/>
        </w:rPr>
        <w:t xml:space="preserve">               </w:t>
      </w:r>
      <w:r w:rsidRPr="00FF2C45">
        <w:rPr>
          <w:rFonts w:cstheme="minorHAnsi"/>
          <w:bCs/>
          <w:i/>
        </w:rPr>
        <w:t>z terenu gminy Ślemień</w:t>
      </w:r>
      <w:r w:rsidRPr="00FF2C45">
        <w:rPr>
          <w:rFonts w:cstheme="minorHAnsi"/>
          <w:bCs/>
        </w:rPr>
        <w:t xml:space="preserve">” oraz w związku z realizacją </w:t>
      </w:r>
      <w:r w:rsidR="00392B7A" w:rsidRPr="00FF2C45">
        <w:rPr>
          <w:rFonts w:cstheme="minorHAnsi"/>
          <w:bCs/>
          <w:i/>
        </w:rPr>
        <w:t xml:space="preserve">uchwały nr XV.80.2011 Rady Gminy w Ślemieniu </w:t>
      </w:r>
      <w:r w:rsidR="00E703DC" w:rsidRPr="00FF2C45">
        <w:rPr>
          <w:rFonts w:cstheme="minorHAnsi"/>
          <w:bCs/>
          <w:i/>
        </w:rPr>
        <w:t xml:space="preserve">     </w:t>
      </w:r>
      <w:r w:rsidR="00392B7A" w:rsidRPr="00FF2C45">
        <w:rPr>
          <w:rFonts w:cstheme="minorHAnsi"/>
          <w:bCs/>
          <w:i/>
        </w:rPr>
        <w:t>z dnia 07 grudnia 2011 r. w sprawie przyjęcia „</w:t>
      </w:r>
      <w:r w:rsidR="00392B7A" w:rsidRPr="00FF2C45">
        <w:rPr>
          <w:rFonts w:cstheme="minorHAnsi"/>
          <w:i/>
          <w:shd w:val="clear" w:color="auto" w:fill="FFFFFF"/>
        </w:rPr>
        <w:t>Program</w:t>
      </w:r>
      <w:r w:rsidR="00B11FD0" w:rsidRPr="00FF2C45">
        <w:rPr>
          <w:rFonts w:cstheme="minorHAnsi"/>
          <w:i/>
          <w:shd w:val="clear" w:color="auto" w:fill="FFFFFF"/>
        </w:rPr>
        <w:t>u</w:t>
      </w:r>
      <w:r w:rsidR="00392B7A" w:rsidRPr="00FF2C45">
        <w:rPr>
          <w:rFonts w:cstheme="minorHAnsi"/>
          <w:i/>
          <w:shd w:val="clear" w:color="auto" w:fill="FFFFFF"/>
        </w:rPr>
        <w:t xml:space="preserve"> usuwania azbestu i wyrobów azbestowych dla gminy Ślemień</w:t>
      </w:r>
      <w:r w:rsidR="00392B7A" w:rsidRPr="00FF2C45">
        <w:rPr>
          <w:rFonts w:cstheme="minorHAnsi"/>
          <w:bCs/>
          <w:i/>
        </w:rPr>
        <w:t>”</w:t>
      </w:r>
      <w:r w:rsidR="00392B7A" w:rsidRPr="00FF2C45">
        <w:rPr>
          <w:rFonts w:cstheme="minorHAnsi"/>
          <w:bCs/>
        </w:rPr>
        <w:t xml:space="preserve"> w roku 20</w:t>
      </w:r>
      <w:r w:rsidR="00FF2C45" w:rsidRPr="00FF2C45">
        <w:rPr>
          <w:rFonts w:cstheme="minorHAnsi"/>
          <w:bCs/>
        </w:rPr>
        <w:t>2</w:t>
      </w:r>
      <w:r w:rsidR="00170B01">
        <w:rPr>
          <w:rFonts w:cstheme="minorHAnsi"/>
          <w:bCs/>
        </w:rPr>
        <w:t>5</w:t>
      </w:r>
      <w:r w:rsidR="009C3082" w:rsidRPr="00FF2C45">
        <w:rPr>
          <w:rFonts w:cstheme="minorHAnsi"/>
          <w:bCs/>
        </w:rPr>
        <w:t xml:space="preserve"> </w:t>
      </w:r>
      <w:r w:rsidR="007D3C7F" w:rsidRPr="00FF2C45">
        <w:rPr>
          <w:rFonts w:cstheme="minorHAnsi"/>
          <w:bCs/>
        </w:rPr>
        <w:t>ze środków własnych Gminy</w:t>
      </w:r>
      <w:r w:rsidR="005B74B2">
        <w:rPr>
          <w:rFonts w:cstheme="minorHAnsi"/>
          <w:bCs/>
        </w:rPr>
        <w:t xml:space="preserve"> nie</w:t>
      </w:r>
      <w:r w:rsidR="007D3C7F" w:rsidRPr="00FF2C45">
        <w:rPr>
          <w:rFonts w:cstheme="minorHAnsi"/>
          <w:bCs/>
        </w:rPr>
        <w:t xml:space="preserve"> </w:t>
      </w:r>
      <w:r w:rsidR="009C3082" w:rsidRPr="00FF2C45">
        <w:rPr>
          <w:rFonts w:cstheme="minorHAnsi"/>
          <w:bCs/>
        </w:rPr>
        <w:t xml:space="preserve">udzielono </w:t>
      </w:r>
      <w:r w:rsidR="007D3C7F" w:rsidRPr="00FF2C45">
        <w:rPr>
          <w:rFonts w:cstheme="minorHAnsi"/>
          <w:bCs/>
        </w:rPr>
        <w:t>dofinansowania.</w:t>
      </w:r>
    </w:p>
    <w:p w14:paraId="57594C94" w14:textId="0F106713" w:rsidR="00F36EEA" w:rsidRPr="00FF2C45" w:rsidRDefault="00F36EEA" w:rsidP="00E703DC">
      <w:pPr>
        <w:jc w:val="both"/>
        <w:rPr>
          <w:rFonts w:cstheme="minorHAnsi"/>
        </w:rPr>
      </w:pPr>
      <w:r>
        <w:rPr>
          <w:rFonts w:cstheme="minorHAnsi"/>
          <w:bCs/>
        </w:rPr>
        <w:t xml:space="preserve">Ponadto Gmina współpracowała z Wojewódzkim Funduszem Ochrony Środowiska i Gospodarki Wodnej w Katowicach w zakresie usuwania wyrobów azbestowych. W ramach współpracy uzyskano dotację na utylizację </w:t>
      </w:r>
      <w:r w:rsidR="00170B01">
        <w:rPr>
          <w:rFonts w:cstheme="minorHAnsi"/>
          <w:bCs/>
        </w:rPr>
        <w:t>24,74</w:t>
      </w:r>
      <w:r>
        <w:rPr>
          <w:rFonts w:cstheme="minorHAnsi"/>
          <w:bCs/>
        </w:rPr>
        <w:t xml:space="preserve"> ton wyrobów azbestowych</w:t>
      </w:r>
      <w:r w:rsidR="00504728">
        <w:rPr>
          <w:rFonts w:cstheme="minorHAnsi"/>
          <w:bCs/>
        </w:rPr>
        <w:t xml:space="preserve">. </w:t>
      </w:r>
      <w:r>
        <w:rPr>
          <w:rFonts w:cstheme="minorHAnsi"/>
          <w:bCs/>
        </w:rPr>
        <w:t xml:space="preserve">Łączny koszt inwestycji wyniósł </w:t>
      </w:r>
      <w:r w:rsidR="00170B01">
        <w:rPr>
          <w:rFonts w:cstheme="minorHAnsi"/>
          <w:bCs/>
        </w:rPr>
        <w:t>18532,15</w:t>
      </w:r>
      <w:r w:rsidR="004E2BE8">
        <w:rPr>
          <w:rFonts w:cstheme="minorHAnsi"/>
          <w:bCs/>
        </w:rPr>
        <w:t xml:space="preserve"> </w:t>
      </w:r>
      <w:r>
        <w:rPr>
          <w:rFonts w:cstheme="minorHAnsi"/>
          <w:bCs/>
        </w:rPr>
        <w:t>zł</w:t>
      </w:r>
      <w:r w:rsidR="00504728">
        <w:rPr>
          <w:rFonts w:cstheme="minorHAnsi"/>
          <w:bCs/>
        </w:rPr>
        <w:t>.</w:t>
      </w:r>
    </w:p>
    <w:p w14:paraId="57F8C8CE" w14:textId="140800FD" w:rsidR="009779A4" w:rsidRPr="00FF2C45" w:rsidRDefault="009779A4" w:rsidP="00E703DC">
      <w:pPr>
        <w:jc w:val="both"/>
        <w:rPr>
          <w:rFonts w:cstheme="minorHAnsi"/>
        </w:rPr>
      </w:pPr>
    </w:p>
    <w:p w14:paraId="7F1D5BEB" w14:textId="78D47413" w:rsidR="007D3C7F" w:rsidRDefault="007D3C7F" w:rsidP="00E703DC">
      <w:pPr>
        <w:jc w:val="both"/>
      </w:pPr>
    </w:p>
    <w:sectPr w:rsidR="007D3C7F" w:rsidSect="00B107B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978CF"/>
    <w:multiLevelType w:val="hybridMultilevel"/>
    <w:tmpl w:val="13866000"/>
    <w:lvl w:ilvl="0" w:tplc="0415000F">
      <w:start w:val="1"/>
      <w:numFmt w:val="decimal"/>
      <w:lvlText w:val="%1."/>
      <w:lvlJc w:val="left"/>
      <w:pPr>
        <w:ind w:left="720" w:hanging="360"/>
      </w:pPr>
      <w:rPr>
        <w:rFonts w:hint="default"/>
      </w:rPr>
    </w:lvl>
    <w:lvl w:ilvl="1" w:tplc="612C2C84">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8C64703"/>
    <w:multiLevelType w:val="hybridMultilevel"/>
    <w:tmpl w:val="D6E83F2C"/>
    <w:lvl w:ilvl="0" w:tplc="04209DD0">
      <w:start w:val="1"/>
      <w:numFmt w:val="decimal"/>
      <w:lvlText w:val="%1."/>
      <w:lvlJc w:val="left"/>
      <w:pPr>
        <w:ind w:left="720" w:hanging="360"/>
      </w:pPr>
      <w:rPr>
        <w:b w:val="0"/>
      </w:rPr>
    </w:lvl>
    <w:lvl w:ilvl="1" w:tplc="FF5C1A16">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0412615">
    <w:abstractNumId w:val="0"/>
  </w:num>
  <w:num w:numId="2" w16cid:durableId="607078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E8"/>
    <w:rsid w:val="00093486"/>
    <w:rsid w:val="000C1E62"/>
    <w:rsid w:val="000D499B"/>
    <w:rsid w:val="000E0536"/>
    <w:rsid w:val="00101018"/>
    <w:rsid w:val="0010460A"/>
    <w:rsid w:val="00170B01"/>
    <w:rsid w:val="001A23F1"/>
    <w:rsid w:val="001B35CA"/>
    <w:rsid w:val="001C46B0"/>
    <w:rsid w:val="001D4E65"/>
    <w:rsid w:val="00200379"/>
    <w:rsid w:val="00207561"/>
    <w:rsid w:val="002333B3"/>
    <w:rsid w:val="00240E13"/>
    <w:rsid w:val="002533DB"/>
    <w:rsid w:val="002955E0"/>
    <w:rsid w:val="002D1ECF"/>
    <w:rsid w:val="00311A9F"/>
    <w:rsid w:val="00317B6F"/>
    <w:rsid w:val="00333A44"/>
    <w:rsid w:val="00357DC2"/>
    <w:rsid w:val="00367963"/>
    <w:rsid w:val="00380573"/>
    <w:rsid w:val="00392B7A"/>
    <w:rsid w:val="00393A18"/>
    <w:rsid w:val="003A1F02"/>
    <w:rsid w:val="003A3734"/>
    <w:rsid w:val="0040752A"/>
    <w:rsid w:val="00437C26"/>
    <w:rsid w:val="00443701"/>
    <w:rsid w:val="00453278"/>
    <w:rsid w:val="004C636E"/>
    <w:rsid w:val="004E2BE8"/>
    <w:rsid w:val="004F0002"/>
    <w:rsid w:val="00504728"/>
    <w:rsid w:val="0054237A"/>
    <w:rsid w:val="0055546D"/>
    <w:rsid w:val="00556667"/>
    <w:rsid w:val="005863C4"/>
    <w:rsid w:val="005B74B2"/>
    <w:rsid w:val="005C58ED"/>
    <w:rsid w:val="005D3AF0"/>
    <w:rsid w:val="005F11AF"/>
    <w:rsid w:val="00606842"/>
    <w:rsid w:val="0066556A"/>
    <w:rsid w:val="006A5F12"/>
    <w:rsid w:val="006B43F0"/>
    <w:rsid w:val="006D4F09"/>
    <w:rsid w:val="00714782"/>
    <w:rsid w:val="0073155E"/>
    <w:rsid w:val="00733D0B"/>
    <w:rsid w:val="00740BC4"/>
    <w:rsid w:val="007426DC"/>
    <w:rsid w:val="0076187E"/>
    <w:rsid w:val="007945B1"/>
    <w:rsid w:val="007D3C7F"/>
    <w:rsid w:val="007D47E8"/>
    <w:rsid w:val="007D5C69"/>
    <w:rsid w:val="008167BE"/>
    <w:rsid w:val="00871346"/>
    <w:rsid w:val="008775F2"/>
    <w:rsid w:val="008845ED"/>
    <w:rsid w:val="008A04FC"/>
    <w:rsid w:val="008D04E7"/>
    <w:rsid w:val="009779A4"/>
    <w:rsid w:val="00993954"/>
    <w:rsid w:val="009A464E"/>
    <w:rsid w:val="009B0D4F"/>
    <w:rsid w:val="009C3082"/>
    <w:rsid w:val="009C50B8"/>
    <w:rsid w:val="009D1151"/>
    <w:rsid w:val="009D5B7E"/>
    <w:rsid w:val="009E4575"/>
    <w:rsid w:val="00A02999"/>
    <w:rsid w:val="00A46A52"/>
    <w:rsid w:val="00A52B4D"/>
    <w:rsid w:val="00A756E1"/>
    <w:rsid w:val="00A93C47"/>
    <w:rsid w:val="00AA682A"/>
    <w:rsid w:val="00AA7FC1"/>
    <w:rsid w:val="00AE515E"/>
    <w:rsid w:val="00AF023F"/>
    <w:rsid w:val="00B009D3"/>
    <w:rsid w:val="00B107BD"/>
    <w:rsid w:val="00B11FD0"/>
    <w:rsid w:val="00B76868"/>
    <w:rsid w:val="00B928CA"/>
    <w:rsid w:val="00BE73D5"/>
    <w:rsid w:val="00BF44A4"/>
    <w:rsid w:val="00C40C48"/>
    <w:rsid w:val="00C819C1"/>
    <w:rsid w:val="00C879D2"/>
    <w:rsid w:val="00C96C5A"/>
    <w:rsid w:val="00CA4211"/>
    <w:rsid w:val="00CA5854"/>
    <w:rsid w:val="00CF5327"/>
    <w:rsid w:val="00D07617"/>
    <w:rsid w:val="00D44E33"/>
    <w:rsid w:val="00DC1159"/>
    <w:rsid w:val="00DE17BD"/>
    <w:rsid w:val="00DF301F"/>
    <w:rsid w:val="00E62D1F"/>
    <w:rsid w:val="00E703DC"/>
    <w:rsid w:val="00E751AC"/>
    <w:rsid w:val="00F01615"/>
    <w:rsid w:val="00F36EEA"/>
    <w:rsid w:val="00F43FD6"/>
    <w:rsid w:val="00F862D4"/>
    <w:rsid w:val="00FB1B7F"/>
    <w:rsid w:val="00FC1159"/>
    <w:rsid w:val="00FF2C45"/>
    <w:rsid w:val="00FF5B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09184"/>
  <w15:chartTrackingRefBased/>
  <w15:docId w15:val="{0DA28CCA-0881-430A-B512-B3FD01196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C1159"/>
    <w:pPr>
      <w:keepNext/>
      <w:spacing w:after="0" w:line="240" w:lineRule="auto"/>
      <w:jc w:val="center"/>
      <w:outlineLvl w:val="0"/>
    </w:pPr>
    <w:rPr>
      <w:rFonts w:ascii="Arial" w:eastAsia="Times New Roman" w:hAnsi="Arial"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977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92B7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DC1159"/>
    <w:rPr>
      <w:rFonts w:ascii="Arial" w:eastAsia="Times New Roman" w:hAnsi="Arial" w:cs="Times New Roman"/>
      <w:b/>
      <w:sz w:val="28"/>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265088">
      <w:bodyDiv w:val="1"/>
      <w:marLeft w:val="0"/>
      <w:marRight w:val="0"/>
      <w:marTop w:val="0"/>
      <w:marBottom w:val="0"/>
      <w:divBdr>
        <w:top w:val="none" w:sz="0" w:space="0" w:color="auto"/>
        <w:left w:val="none" w:sz="0" w:space="0" w:color="auto"/>
        <w:bottom w:val="none" w:sz="0" w:space="0" w:color="auto"/>
        <w:right w:val="none" w:sz="0" w:space="0" w:color="auto"/>
      </w:divBdr>
    </w:div>
    <w:div w:id="575938623">
      <w:bodyDiv w:val="1"/>
      <w:marLeft w:val="0"/>
      <w:marRight w:val="0"/>
      <w:marTop w:val="0"/>
      <w:marBottom w:val="0"/>
      <w:divBdr>
        <w:top w:val="none" w:sz="0" w:space="0" w:color="auto"/>
        <w:left w:val="none" w:sz="0" w:space="0" w:color="auto"/>
        <w:bottom w:val="none" w:sz="0" w:space="0" w:color="auto"/>
        <w:right w:val="none" w:sz="0" w:space="0" w:color="auto"/>
      </w:divBdr>
    </w:div>
    <w:div w:id="760763138">
      <w:bodyDiv w:val="1"/>
      <w:marLeft w:val="0"/>
      <w:marRight w:val="0"/>
      <w:marTop w:val="0"/>
      <w:marBottom w:val="0"/>
      <w:divBdr>
        <w:top w:val="none" w:sz="0" w:space="0" w:color="auto"/>
        <w:left w:val="none" w:sz="0" w:space="0" w:color="auto"/>
        <w:bottom w:val="none" w:sz="0" w:space="0" w:color="auto"/>
        <w:right w:val="none" w:sz="0" w:space="0" w:color="auto"/>
      </w:divBdr>
    </w:div>
    <w:div w:id="825828131">
      <w:bodyDiv w:val="1"/>
      <w:marLeft w:val="0"/>
      <w:marRight w:val="0"/>
      <w:marTop w:val="0"/>
      <w:marBottom w:val="0"/>
      <w:divBdr>
        <w:top w:val="none" w:sz="0" w:space="0" w:color="auto"/>
        <w:left w:val="none" w:sz="0" w:space="0" w:color="auto"/>
        <w:bottom w:val="none" w:sz="0" w:space="0" w:color="auto"/>
        <w:right w:val="none" w:sz="0" w:space="0" w:color="auto"/>
      </w:divBdr>
    </w:div>
    <w:div w:id="847792083">
      <w:bodyDiv w:val="1"/>
      <w:marLeft w:val="0"/>
      <w:marRight w:val="0"/>
      <w:marTop w:val="0"/>
      <w:marBottom w:val="0"/>
      <w:divBdr>
        <w:top w:val="none" w:sz="0" w:space="0" w:color="auto"/>
        <w:left w:val="none" w:sz="0" w:space="0" w:color="auto"/>
        <w:bottom w:val="none" w:sz="0" w:space="0" w:color="auto"/>
        <w:right w:val="none" w:sz="0" w:space="0" w:color="auto"/>
      </w:divBdr>
    </w:div>
    <w:div w:id="1292445461">
      <w:bodyDiv w:val="1"/>
      <w:marLeft w:val="0"/>
      <w:marRight w:val="0"/>
      <w:marTop w:val="0"/>
      <w:marBottom w:val="0"/>
      <w:divBdr>
        <w:top w:val="none" w:sz="0" w:space="0" w:color="auto"/>
        <w:left w:val="none" w:sz="0" w:space="0" w:color="auto"/>
        <w:bottom w:val="none" w:sz="0" w:space="0" w:color="auto"/>
        <w:right w:val="none" w:sz="0" w:space="0" w:color="auto"/>
      </w:divBdr>
    </w:div>
    <w:div w:id="1514025706">
      <w:bodyDiv w:val="1"/>
      <w:marLeft w:val="0"/>
      <w:marRight w:val="0"/>
      <w:marTop w:val="0"/>
      <w:marBottom w:val="0"/>
      <w:divBdr>
        <w:top w:val="none" w:sz="0" w:space="0" w:color="auto"/>
        <w:left w:val="none" w:sz="0" w:space="0" w:color="auto"/>
        <w:bottom w:val="none" w:sz="0" w:space="0" w:color="auto"/>
        <w:right w:val="none" w:sz="0" w:space="0" w:color="auto"/>
      </w:divBdr>
    </w:div>
    <w:div w:id="1531527869">
      <w:bodyDiv w:val="1"/>
      <w:marLeft w:val="0"/>
      <w:marRight w:val="0"/>
      <w:marTop w:val="0"/>
      <w:marBottom w:val="0"/>
      <w:divBdr>
        <w:top w:val="none" w:sz="0" w:space="0" w:color="auto"/>
        <w:left w:val="none" w:sz="0" w:space="0" w:color="auto"/>
        <w:bottom w:val="none" w:sz="0" w:space="0" w:color="auto"/>
        <w:right w:val="none" w:sz="0" w:space="0" w:color="auto"/>
      </w:divBdr>
    </w:div>
    <w:div w:id="1796557123">
      <w:bodyDiv w:val="1"/>
      <w:marLeft w:val="0"/>
      <w:marRight w:val="0"/>
      <w:marTop w:val="0"/>
      <w:marBottom w:val="0"/>
      <w:divBdr>
        <w:top w:val="none" w:sz="0" w:space="0" w:color="auto"/>
        <w:left w:val="none" w:sz="0" w:space="0" w:color="auto"/>
        <w:bottom w:val="none" w:sz="0" w:space="0" w:color="auto"/>
        <w:right w:val="none" w:sz="0" w:space="0" w:color="auto"/>
      </w:divBdr>
      <w:divsChild>
        <w:div w:id="1681274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901</Words>
  <Characters>5410</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mariusz_borowy</dc:creator>
  <cp:keywords/>
  <dc:description/>
  <cp:lastModifiedBy>Mariusz Borowy</cp:lastModifiedBy>
  <cp:revision>8</cp:revision>
  <dcterms:created xsi:type="dcterms:W3CDTF">2026-03-27T07:24:00Z</dcterms:created>
  <dcterms:modified xsi:type="dcterms:W3CDTF">2026-03-31T12:53:00Z</dcterms:modified>
</cp:coreProperties>
</file>